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DFD7F" w14:textId="19A137AB" w:rsidR="00294264" w:rsidRPr="009C2760" w:rsidRDefault="008347C3" w:rsidP="00CB0A95">
      <w:pPr>
        <w:jc w:val="both"/>
        <w:rPr>
          <w:rFonts w:ascii="Calibri" w:eastAsia="Calibri" w:hAnsi="Calibri" w:cs="Calibri"/>
          <w:sz w:val="20"/>
          <w:szCs w:val="20"/>
          <w:lang w:val="en-US"/>
        </w:rPr>
      </w:pPr>
      <w:r w:rsidRPr="009C2760">
        <w:rPr>
          <w:rFonts w:ascii="Calibri" w:eastAsia="Calibri" w:hAnsi="Calibri" w:cs="Calibri"/>
          <w:sz w:val="20"/>
          <w:szCs w:val="20"/>
          <w:lang w:val="en-US"/>
        </w:rPr>
        <w:t>Press Release                                                                                                              Warsaw, 15 June 2026</w:t>
      </w:r>
    </w:p>
    <w:p w14:paraId="1EB7EFFE" w14:textId="77777777" w:rsidR="00FD6F35" w:rsidRPr="009C2760" w:rsidRDefault="00FD6F35" w:rsidP="00CB0A95">
      <w:pPr>
        <w:jc w:val="both"/>
        <w:rPr>
          <w:rFonts w:ascii="Calibri" w:eastAsia="Calibri" w:hAnsi="Calibri" w:cs="Calibri"/>
          <w:b/>
          <w:bCs/>
          <w:sz w:val="24"/>
          <w:szCs w:val="24"/>
          <w:lang w:val="en-US"/>
        </w:rPr>
      </w:pPr>
    </w:p>
    <w:p w14:paraId="461DD8CB" w14:textId="221D0059" w:rsidR="004268D0" w:rsidRPr="009C2760" w:rsidRDefault="00377124" w:rsidP="00CB0A95">
      <w:pPr>
        <w:jc w:val="center"/>
        <w:rPr>
          <w:rFonts w:ascii="Calibri" w:eastAsia="Calibri" w:hAnsi="Calibri" w:cs="Calibri"/>
          <w:b/>
          <w:bCs/>
          <w:sz w:val="24"/>
          <w:szCs w:val="24"/>
          <w:lang w:val="en-US"/>
        </w:rPr>
      </w:pPr>
      <w:r w:rsidRPr="009C2760">
        <w:rPr>
          <w:rFonts w:ascii="Calibri" w:eastAsia="Calibri" w:hAnsi="Calibri" w:cs="Calibri"/>
          <w:b/>
          <w:bCs/>
          <w:sz w:val="24"/>
          <w:szCs w:val="24"/>
          <w:lang w:val="en-US"/>
        </w:rPr>
        <w:t>Synektik publishes a report entitled “</w:t>
      </w:r>
      <w:bookmarkStart w:id="0" w:name="_Hlk232424061"/>
      <w:r w:rsidRPr="009C2760">
        <w:rPr>
          <w:rFonts w:ascii="Calibri" w:eastAsia="Calibri" w:hAnsi="Calibri" w:cs="Calibri"/>
          <w:b/>
          <w:bCs/>
          <w:sz w:val="24"/>
          <w:szCs w:val="24"/>
          <w:lang w:val="en-US"/>
        </w:rPr>
        <w:t>The Future of Healthcare Automation in Central and Eastern Europe by 2030</w:t>
      </w:r>
      <w:bookmarkEnd w:id="0"/>
      <w:r w:rsidRPr="009C2760">
        <w:rPr>
          <w:rFonts w:ascii="Calibri" w:eastAsia="Calibri" w:hAnsi="Calibri" w:cs="Calibri"/>
          <w:b/>
          <w:bCs/>
          <w:sz w:val="24"/>
          <w:szCs w:val="24"/>
          <w:lang w:val="en-US"/>
        </w:rPr>
        <w:t>“</w:t>
      </w:r>
    </w:p>
    <w:p w14:paraId="1A4C4CD8" w14:textId="1CEF06FF" w:rsidR="00076529" w:rsidRPr="009C2760" w:rsidRDefault="00076529" w:rsidP="00076529">
      <w:pPr>
        <w:spacing w:before="240" w:after="240"/>
        <w:jc w:val="both"/>
        <w:rPr>
          <w:rFonts w:ascii="Calibri" w:eastAsia="Calibri" w:hAnsi="Calibri" w:cs="Calibri"/>
          <w:b/>
          <w:bCs/>
          <w:lang w:val="en-US"/>
        </w:rPr>
      </w:pPr>
      <w:r w:rsidRPr="009C2760">
        <w:rPr>
          <w:rFonts w:ascii="Calibri" w:eastAsia="Calibri" w:hAnsi="Calibri" w:cs="Calibri"/>
          <w:b/>
          <w:bCs/>
          <w:lang w:val="en-US"/>
        </w:rPr>
        <w:t xml:space="preserve">The years from 2025 to 2030 may prove to be a period of accelerated healthcare transformation in Central and Eastern Europe. The key strategies undergoing implementation in 2026 aim to narrow the gap between AI’s potential and its current level of adoption. Despite positive trends the medical sector has ample space to catch up. Hospitals will undergo a robust transformation in respect of computerization while trends involving the utilization of robotics, AI and automation are also making more pronounced inroads into the Baltic States where Synektik already has a footprint. Approximately 4.8 thousand procedures using surgical robots were performed in 2025 in Poland versus nearly 262 thousand procedures that year in just general surgery, which is the largest market utilizing robotic surgery across the globe. That means that merely about 2% of all procedures are performed using this technology. By comparison, the pertinent figure for the United States is some 15%. </w:t>
      </w:r>
      <w:r w:rsidR="00C072E6">
        <w:rPr>
          <w:rFonts w:ascii="Calibri" w:eastAsia="Calibri" w:hAnsi="Calibri" w:cs="Calibri"/>
          <w:b/>
          <w:bCs/>
          <w:lang w:val="en-US"/>
        </w:rPr>
        <w:t xml:space="preserve">Overall, </w:t>
      </w:r>
      <w:r w:rsidRPr="009C2760">
        <w:rPr>
          <w:rFonts w:ascii="Calibri" w:eastAsia="Calibri" w:hAnsi="Calibri" w:cs="Calibri"/>
          <w:b/>
          <w:bCs/>
          <w:lang w:val="en-US"/>
        </w:rPr>
        <w:t>Central and Eastern Europe is 5-10 years behind Western Europe in terms of the penetration of surgical robotics, AI utilization and automated pharmacy dispensing systems. New funds originating from the National Recovery and Resilience Program, regulatory pressure and the medical personnel gap may change that.</w:t>
      </w:r>
    </w:p>
    <w:p w14:paraId="7C2CBC2D" w14:textId="46F43F4D" w:rsidR="00076529" w:rsidRPr="009C2760" w:rsidRDefault="00076529" w:rsidP="00076529">
      <w:pPr>
        <w:spacing w:before="240" w:after="240"/>
        <w:jc w:val="both"/>
        <w:rPr>
          <w:rFonts w:ascii="Calibri" w:eastAsia="Calibri" w:hAnsi="Calibri" w:cs="Calibri"/>
          <w:lang w:val="en-US"/>
        </w:rPr>
      </w:pPr>
      <w:r w:rsidRPr="009C2760">
        <w:rPr>
          <w:rFonts w:ascii="Calibri" w:eastAsia="Calibri" w:hAnsi="Calibri" w:cs="Calibri"/>
          <w:lang w:val="en-US"/>
        </w:rPr>
        <w:t>“Approximately 21.3 thousand procedures using surgical robots were performed in 2025 in Poland.</w:t>
      </w:r>
      <w:r w:rsidRPr="009C2760">
        <w:rPr>
          <w:rFonts w:ascii="Calibri" w:eastAsia="Calibri" w:hAnsi="Calibri" w:cs="Calibri"/>
          <w:i/>
          <w:iCs/>
          <w:lang w:val="en-US"/>
        </w:rPr>
        <w:t xml:space="preserve"> That sounds impressive until we juxtapose that figure with the total number of procedures of about 341.5 thousand. That means that only about 6% of the procedures that could be performed using robots are currently being performed using this technology. This percentage slips to a mere 2% in general surgery alone. While there are nearly 262 thousand procedures performed per annum, only about 4.8 thousand are performed robotically. We really have a lot of work to do to catch up. Even so, the direction to follow is clear</w:t>
      </w:r>
      <w:r w:rsidRPr="009C2760">
        <w:rPr>
          <w:rFonts w:ascii="Calibri" w:eastAsia="Calibri" w:hAnsi="Calibri" w:cs="Calibri"/>
          <w:lang w:val="en-US"/>
        </w:rPr>
        <w:t>”, says Cezary Kozanecki, CEO of Synektik. “</w:t>
      </w:r>
      <w:r w:rsidRPr="009C2760">
        <w:rPr>
          <w:rFonts w:ascii="Calibri" w:eastAsia="Calibri" w:hAnsi="Calibri" w:cs="Calibri"/>
          <w:i/>
          <w:iCs/>
          <w:lang w:val="en-US"/>
        </w:rPr>
        <w:t xml:space="preserve">That is just scratching the surface of the trends that will make their mark in upcoming years. Through our report we want to show medical robotics as the inevitable future, something that must transpire. Everybody will </w:t>
      </w:r>
      <w:r w:rsidR="00F5177E">
        <w:rPr>
          <w:rFonts w:ascii="Calibri" w:eastAsia="Calibri" w:hAnsi="Calibri" w:cs="Calibri"/>
          <w:i/>
          <w:iCs/>
          <w:lang w:val="en-US"/>
        </w:rPr>
        <w:t xml:space="preserve">derive </w:t>
      </w:r>
      <w:r w:rsidRPr="009C2760">
        <w:rPr>
          <w:rFonts w:ascii="Calibri" w:eastAsia="Calibri" w:hAnsi="Calibri" w:cs="Calibri"/>
          <w:i/>
          <w:iCs/>
          <w:lang w:val="en-US"/>
        </w:rPr>
        <w:t xml:space="preserve">benefit from this trend: patients, physicians and the Polish economy. The data indicate that the CEE region has a lot to do to catch up. For the sake of comparison, the United States performs 15% of all general surgery using robotic procedures. This is an important benchmark showing the direction the market will </w:t>
      </w:r>
      <w:r w:rsidR="00A23FAD">
        <w:rPr>
          <w:rFonts w:ascii="Calibri" w:eastAsia="Calibri" w:hAnsi="Calibri" w:cs="Calibri"/>
          <w:i/>
          <w:iCs/>
          <w:lang w:val="en-US"/>
        </w:rPr>
        <w:t>take</w:t>
      </w:r>
      <w:r w:rsidRPr="009C2760">
        <w:rPr>
          <w:rFonts w:ascii="Calibri" w:eastAsia="Calibri" w:hAnsi="Calibri" w:cs="Calibri"/>
          <w:i/>
          <w:iCs/>
          <w:lang w:val="en-US"/>
        </w:rPr>
        <w:t>. Nor should one forget about the trends involving the computerization of hospitals, cloud-based solutions and the demand for robotic technologies in the Baltic States region</w:t>
      </w:r>
      <w:r w:rsidRPr="009C2760">
        <w:rPr>
          <w:rFonts w:ascii="Calibri" w:eastAsia="Calibri" w:hAnsi="Calibri" w:cs="Calibri"/>
          <w:lang w:val="en-US"/>
        </w:rPr>
        <w:t>”, adds Cezary Kozanecki.</w:t>
      </w:r>
    </w:p>
    <w:p w14:paraId="21DFA098" w14:textId="079C2A20" w:rsidR="00EE62CE" w:rsidRPr="009C2760" w:rsidRDefault="005F79C4" w:rsidP="00EE62CE">
      <w:pPr>
        <w:spacing w:before="240" w:after="240"/>
        <w:jc w:val="both"/>
        <w:rPr>
          <w:rFonts w:ascii="Calibri" w:hAnsi="Calibri" w:cs="Calibri"/>
          <w:lang w:val="en-US"/>
        </w:rPr>
      </w:pPr>
      <w:r w:rsidRPr="009C2760">
        <w:rPr>
          <w:rFonts w:ascii="Calibri" w:hAnsi="Calibri" w:cs="Calibri"/>
          <w:lang w:val="en-US"/>
        </w:rPr>
        <w:t xml:space="preserve">The full version of this report is accessible via the following link: </w:t>
      </w:r>
      <w:hyperlink r:id="rId11" w:history="1">
        <w:r w:rsidRPr="009C2760">
          <w:rPr>
            <w:rStyle w:val="Hipercze"/>
            <w:rFonts w:ascii="Calibri" w:hAnsi="Calibri" w:cs="Calibri"/>
            <w:lang w:val="en-US"/>
          </w:rPr>
          <w:t>https://synektik.com.pl/wp-content/uploads/2026/06/raport-SYNEKTIK_v3_15_06_FIN.pdf</w:t>
        </w:r>
      </w:hyperlink>
      <w:r w:rsidRPr="009C2760">
        <w:rPr>
          <w:rFonts w:ascii="Calibri" w:hAnsi="Calibri" w:cs="Calibri"/>
          <w:lang w:val="en-US"/>
        </w:rPr>
        <w:t xml:space="preserve"> </w:t>
      </w:r>
      <w:r w:rsidR="00CA2F81">
        <w:rPr>
          <w:rFonts w:ascii="Calibri" w:hAnsi="Calibri" w:cs="Calibri"/>
          <w:lang w:val="en-US"/>
        </w:rPr>
        <w:t>(polish version)</w:t>
      </w:r>
    </w:p>
    <w:p w14:paraId="1A6096BC" w14:textId="6B972E7F" w:rsidR="00377124" w:rsidRPr="009C2760" w:rsidRDefault="00377124" w:rsidP="00EE62CE">
      <w:pPr>
        <w:spacing w:before="240" w:after="240"/>
        <w:jc w:val="both"/>
        <w:rPr>
          <w:rFonts w:ascii="Calibri" w:eastAsia="Calibri" w:hAnsi="Calibri" w:cs="Calibri"/>
          <w:b/>
          <w:bCs/>
          <w:lang w:val="en-US"/>
        </w:rPr>
      </w:pPr>
      <w:r w:rsidRPr="009C2760">
        <w:rPr>
          <w:rFonts w:ascii="Calibri" w:eastAsia="Calibri" w:hAnsi="Calibri" w:cs="Calibri"/>
          <w:b/>
          <w:bCs/>
          <w:lang w:val="en-US"/>
        </w:rPr>
        <w:t>The global market is growing – the business model is evolving</w:t>
      </w:r>
    </w:p>
    <w:p w14:paraId="06836CD6" w14:textId="0942C7E1" w:rsidR="00377124" w:rsidRPr="009C2760" w:rsidRDefault="00377124" w:rsidP="00CB0A95">
      <w:pPr>
        <w:spacing w:after="160" w:line="259" w:lineRule="auto"/>
        <w:jc w:val="both"/>
        <w:rPr>
          <w:rFonts w:ascii="Calibri" w:eastAsia="Calibri" w:hAnsi="Calibri" w:cs="Calibri"/>
          <w:lang w:val="en-US"/>
        </w:rPr>
      </w:pPr>
      <w:r w:rsidRPr="009C2760">
        <w:rPr>
          <w:rFonts w:ascii="Calibri" w:eastAsia="Calibri" w:hAnsi="Calibri" w:cs="Calibri"/>
          <w:lang w:val="en-US"/>
        </w:rPr>
        <w:t xml:space="preserve">The results of Intuitive Surgical, the global leader in surgical robotics demonstrate the magnitude of this transformation. In 2025 </w:t>
      </w:r>
      <w:r w:rsidR="00424B60">
        <w:rPr>
          <w:rFonts w:ascii="Calibri" w:eastAsia="Calibri" w:hAnsi="Calibri" w:cs="Calibri"/>
          <w:lang w:val="en-US"/>
        </w:rPr>
        <w:t xml:space="preserve">it </w:t>
      </w:r>
      <w:r w:rsidRPr="009C2760">
        <w:rPr>
          <w:rFonts w:ascii="Calibri" w:eastAsia="Calibri" w:hAnsi="Calibri" w:cs="Calibri"/>
          <w:lang w:val="en-US"/>
        </w:rPr>
        <w:t xml:space="preserve">generated revenue of USD 10 billion, with 84% of that representing </w:t>
      </w:r>
      <w:r w:rsidRPr="009C2760">
        <w:rPr>
          <w:rFonts w:ascii="Calibri" w:eastAsia="Calibri" w:hAnsi="Calibri" w:cs="Calibri"/>
          <w:lang w:val="en-US"/>
        </w:rPr>
        <w:lastRenderedPageBreak/>
        <w:t xml:space="preserve">recurring revenue. More than 3.2 million procedures were performed using </w:t>
      </w:r>
      <w:proofErr w:type="spellStart"/>
      <w:r w:rsidRPr="009C2760">
        <w:rPr>
          <w:rFonts w:ascii="Calibri" w:eastAsia="Calibri" w:hAnsi="Calibri" w:cs="Calibri"/>
          <w:lang w:val="en-US"/>
        </w:rPr>
        <w:t>Intuitive’s</w:t>
      </w:r>
      <w:proofErr w:type="spellEnd"/>
      <w:r w:rsidRPr="009C2760">
        <w:rPr>
          <w:rFonts w:ascii="Calibri" w:eastAsia="Calibri" w:hAnsi="Calibri" w:cs="Calibri"/>
          <w:lang w:val="en-US"/>
        </w:rPr>
        <w:t xml:space="preserve"> systems, signifying 18% growth year on year. Globally, there are more than 12,000 Intuitive systems in operation in more than 70 countries.</w:t>
      </w:r>
    </w:p>
    <w:p w14:paraId="59377F5B" w14:textId="3C52D58E" w:rsidR="00377124" w:rsidRPr="009C2760" w:rsidRDefault="00377124" w:rsidP="00CB0A95">
      <w:pPr>
        <w:spacing w:after="160" w:line="259" w:lineRule="auto"/>
        <w:jc w:val="both"/>
        <w:rPr>
          <w:rFonts w:ascii="Calibri" w:eastAsia="Calibri" w:hAnsi="Calibri" w:cs="Calibri"/>
          <w:lang w:val="en-US"/>
        </w:rPr>
      </w:pPr>
      <w:r w:rsidRPr="009C2760">
        <w:rPr>
          <w:rFonts w:ascii="Calibri" w:eastAsia="Calibri" w:hAnsi="Calibri" w:cs="Calibri"/>
          <w:lang w:val="en-US"/>
        </w:rPr>
        <w:t>Concurrently, the market is also undergoing a structural shift in its model as it moves away from the one-off sale of hardware to generating revenue on maintenance, procedures and software. Synektik reflects this trend: the share of recurring revenue has climbed from 31% (2022) to 51% (2024) on a CAGR of 66% over the last 3 years.</w:t>
      </w:r>
    </w:p>
    <w:p w14:paraId="411DB960" w14:textId="77777777" w:rsidR="00377124" w:rsidRPr="009C2760" w:rsidRDefault="00377124" w:rsidP="00CB0A95">
      <w:pPr>
        <w:spacing w:after="160" w:line="259" w:lineRule="auto"/>
        <w:jc w:val="both"/>
        <w:rPr>
          <w:rFonts w:ascii="Calibri" w:eastAsia="Calibri" w:hAnsi="Calibri" w:cs="Calibri"/>
          <w:b/>
          <w:bCs/>
          <w:lang w:val="en-US"/>
        </w:rPr>
      </w:pPr>
      <w:r w:rsidRPr="009C2760">
        <w:rPr>
          <w:rFonts w:ascii="Calibri" w:eastAsia="Calibri" w:hAnsi="Calibri" w:cs="Calibri"/>
          <w:b/>
          <w:bCs/>
          <w:lang w:val="en-US"/>
        </w:rPr>
        <w:t>Five segments portending the greatest upside</w:t>
      </w:r>
    </w:p>
    <w:p w14:paraId="1542894A" w14:textId="6291128F" w:rsidR="00377124" w:rsidRPr="009C2760" w:rsidRDefault="00377124" w:rsidP="00CB0A95">
      <w:pPr>
        <w:spacing w:after="160" w:line="259" w:lineRule="auto"/>
        <w:jc w:val="both"/>
        <w:rPr>
          <w:rFonts w:ascii="Calibri" w:eastAsia="Calibri" w:hAnsi="Calibri" w:cs="Calibri"/>
          <w:lang w:val="en-US"/>
        </w:rPr>
      </w:pPr>
      <w:r w:rsidRPr="009C2760">
        <w:rPr>
          <w:rFonts w:ascii="Calibri" w:eastAsia="Calibri" w:hAnsi="Calibri" w:cs="Calibri"/>
          <w:lang w:val="en-US"/>
        </w:rPr>
        <w:t>The report identifies the segments offering the highest rate of growth up to 2030: diagnostic AI (a market of USD 1.6 billion → USD 5.44 billion, a CAGR of 22.46%), healthcare cloud (USD 54.69 billion → USD 93.41 billion, a CAGR of 11.3%), medical data interoperability is driven by the EHDS directive, surgical robotics (a CAGR of 14.8%) and the automation of hospital pharmacies – where penetration in the CEE is 2-3 times lower than in Western Europe. In turn, under 10 systems have been rolled out to-date in Poland of the overall potential of roughly 350 pharmacies.</w:t>
      </w:r>
    </w:p>
    <w:p w14:paraId="34999009" w14:textId="77777777" w:rsidR="00377124" w:rsidRPr="009C2760" w:rsidRDefault="00377124" w:rsidP="00CB0A95">
      <w:pPr>
        <w:spacing w:after="160" w:line="259" w:lineRule="auto"/>
        <w:jc w:val="both"/>
        <w:rPr>
          <w:rFonts w:ascii="Calibri" w:eastAsia="Calibri" w:hAnsi="Calibri" w:cs="Calibri"/>
          <w:b/>
          <w:bCs/>
          <w:lang w:val="en-US"/>
        </w:rPr>
      </w:pPr>
      <w:r w:rsidRPr="009C2760">
        <w:rPr>
          <w:rFonts w:ascii="Calibri" w:eastAsia="Calibri" w:hAnsi="Calibri" w:cs="Calibri"/>
          <w:b/>
          <w:bCs/>
          <w:lang w:val="en-US"/>
        </w:rPr>
        <w:t>Regional expansion as a growth lever</w:t>
      </w:r>
    </w:p>
    <w:p w14:paraId="235AC120" w14:textId="7A7F36DC" w:rsidR="00377124" w:rsidRPr="009C2760" w:rsidRDefault="00377124" w:rsidP="00CB0A95">
      <w:pPr>
        <w:spacing w:after="160" w:line="259" w:lineRule="auto"/>
        <w:jc w:val="both"/>
        <w:rPr>
          <w:rFonts w:ascii="Calibri" w:eastAsia="Calibri" w:hAnsi="Calibri" w:cs="Calibri"/>
          <w:lang w:val="en-US"/>
        </w:rPr>
      </w:pPr>
      <w:r w:rsidRPr="009C2760">
        <w:rPr>
          <w:rFonts w:ascii="Calibri" w:eastAsia="Calibri" w:hAnsi="Calibri" w:cs="Calibri"/>
          <w:lang w:val="en-US"/>
        </w:rPr>
        <w:t>Synektik is expanding its operations beyond the markets it currently serves in Poland, the Czech Republic and Slovakia. It has secured the status of sole distributor of the da Vinci systems in Ukraine (whose operational launch is slated for 2026) and it is entering the Baltic markets – in May 2026 a physician from the University Clinical Hospital in Rzeszów performed the first robotic procedure in Latvia. In total, expansion will span a potential market of approximately 37 million additional inhabitants.</w:t>
      </w:r>
    </w:p>
    <w:p w14:paraId="6BAFBA39" w14:textId="77777777" w:rsidR="00377124" w:rsidRPr="009C2760" w:rsidRDefault="00377124" w:rsidP="00CB0A95">
      <w:pPr>
        <w:spacing w:after="160" w:line="259" w:lineRule="auto"/>
        <w:jc w:val="both"/>
        <w:rPr>
          <w:rFonts w:ascii="Calibri" w:eastAsia="Calibri" w:hAnsi="Calibri" w:cs="Calibri"/>
          <w:b/>
          <w:bCs/>
          <w:lang w:val="en-US"/>
        </w:rPr>
      </w:pPr>
      <w:r w:rsidRPr="009C2760">
        <w:rPr>
          <w:rFonts w:ascii="Calibri" w:eastAsia="Calibri" w:hAnsi="Calibri" w:cs="Calibri"/>
          <w:b/>
          <w:bCs/>
          <w:lang w:val="en-US"/>
        </w:rPr>
        <w:t>Regulations as a demand catalyst</w:t>
      </w:r>
    </w:p>
    <w:p w14:paraId="3F10AE14" w14:textId="51FCDD3E" w:rsidR="009009EF" w:rsidRPr="009C2760" w:rsidRDefault="00377124" w:rsidP="00CB0A95">
      <w:pPr>
        <w:spacing w:after="160" w:line="259" w:lineRule="auto"/>
        <w:jc w:val="both"/>
        <w:rPr>
          <w:rFonts w:ascii="Calibri" w:eastAsia="Calibri" w:hAnsi="Calibri" w:cs="Calibri"/>
          <w:lang w:val="en-US"/>
        </w:rPr>
      </w:pPr>
      <w:r w:rsidRPr="009C2760">
        <w:rPr>
          <w:rFonts w:ascii="Calibri" w:eastAsia="Calibri" w:hAnsi="Calibri" w:cs="Calibri"/>
          <w:lang w:val="en-US"/>
        </w:rPr>
        <w:t xml:space="preserve">The EU regulations undergoing implementation – EHDS (the obligation to certify EHR and interoperability systems by 2029), the EU AI Act (dual compliance MDR and the AI Act for AI tools in diagnostics) and the NIS2 directive (hospitals as critical infrastructure) – are driving the </w:t>
      </w:r>
      <w:r w:rsidR="001F1DEC">
        <w:rPr>
          <w:rFonts w:ascii="Calibri" w:eastAsia="Calibri" w:hAnsi="Calibri" w:cs="Calibri"/>
          <w:lang w:val="en-US"/>
        </w:rPr>
        <w:t xml:space="preserve">regulatory-induced </w:t>
      </w:r>
      <w:r w:rsidRPr="009C2760">
        <w:rPr>
          <w:rFonts w:ascii="Calibri" w:eastAsia="Calibri" w:hAnsi="Calibri" w:cs="Calibri"/>
          <w:lang w:val="en-US"/>
        </w:rPr>
        <w:t>demand for technological modernization. Funds from the NRRP act as a supplement: roughly 4.4 billion PLN earmarked to digitize healthcare in Poland from 2025 to 2027.</w:t>
      </w:r>
    </w:p>
    <w:p w14:paraId="06563B62" w14:textId="77777777" w:rsidR="00925ECA" w:rsidRPr="009C2760" w:rsidRDefault="00925ECA" w:rsidP="00CB0A95">
      <w:pPr>
        <w:jc w:val="both"/>
        <w:rPr>
          <w:rFonts w:ascii="Calibri" w:eastAsia="Calibri" w:hAnsi="Calibri" w:cs="Calibri"/>
          <w:lang w:val="en-US"/>
        </w:rPr>
      </w:pPr>
    </w:p>
    <w:sectPr w:rsidR="00925ECA" w:rsidRPr="009C2760">
      <w:headerReference w:type="default" r:id="rId12"/>
      <w:footerReference w:type="default" r:id="rId13"/>
      <w:pgSz w:w="11906" w:h="16838"/>
      <w:pgMar w:top="1440" w:right="1440" w:bottom="1440" w:left="1440" w:header="720" w:footer="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52FE5" w14:textId="77777777" w:rsidR="00776653" w:rsidRDefault="00776653">
      <w:pPr>
        <w:spacing w:line="240" w:lineRule="auto"/>
      </w:pPr>
      <w:r>
        <w:separator/>
      </w:r>
    </w:p>
  </w:endnote>
  <w:endnote w:type="continuationSeparator" w:id="0">
    <w:p w14:paraId="789F5289" w14:textId="77777777" w:rsidR="00776653" w:rsidRDefault="007766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Normal"/>
      <w:tblW w:w="0" w:type="auto"/>
      <w:tblLayout w:type="fixed"/>
      <w:tblLook w:val="06A0" w:firstRow="1" w:lastRow="0" w:firstColumn="1" w:lastColumn="0" w:noHBand="1" w:noVBand="1"/>
    </w:tblPr>
    <w:tblGrid>
      <w:gridCol w:w="3005"/>
      <w:gridCol w:w="3005"/>
      <w:gridCol w:w="3005"/>
    </w:tblGrid>
    <w:tr w:rsidR="00827350" w14:paraId="7B25A57B" w14:textId="77777777" w:rsidTr="04293A1F">
      <w:trPr>
        <w:trHeight w:val="300"/>
      </w:trPr>
      <w:tc>
        <w:tcPr>
          <w:tcW w:w="3005" w:type="dxa"/>
        </w:tcPr>
        <w:p w14:paraId="51220353" w14:textId="3C14B62C" w:rsidR="00827350" w:rsidRDefault="00827350" w:rsidP="04293A1F">
          <w:pPr>
            <w:ind w:left="-115"/>
          </w:pPr>
        </w:p>
      </w:tc>
      <w:tc>
        <w:tcPr>
          <w:tcW w:w="3005" w:type="dxa"/>
        </w:tcPr>
        <w:p w14:paraId="223EC56F" w14:textId="074E7C19" w:rsidR="00827350" w:rsidRDefault="00827350" w:rsidP="04293A1F">
          <w:pPr>
            <w:jc w:val="center"/>
          </w:pPr>
        </w:p>
      </w:tc>
      <w:tc>
        <w:tcPr>
          <w:tcW w:w="3005" w:type="dxa"/>
        </w:tcPr>
        <w:p w14:paraId="337AD682" w14:textId="1EFC7EB3" w:rsidR="00827350" w:rsidRDefault="00827350" w:rsidP="04293A1F">
          <w:pPr>
            <w:ind w:right="-115"/>
            <w:jc w:val="right"/>
          </w:pPr>
        </w:p>
      </w:tc>
    </w:tr>
  </w:tbl>
  <w:p w14:paraId="7BBDA1F0" w14:textId="1F7F8FF3" w:rsidR="00827350" w:rsidRDefault="00827350" w:rsidP="04293A1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31EE8" w14:textId="77777777" w:rsidR="00776653" w:rsidRDefault="00776653">
      <w:pPr>
        <w:spacing w:line="240" w:lineRule="auto"/>
      </w:pPr>
      <w:r>
        <w:separator/>
      </w:r>
    </w:p>
  </w:footnote>
  <w:footnote w:type="continuationSeparator" w:id="0">
    <w:p w14:paraId="58A4903C" w14:textId="77777777" w:rsidR="00776653" w:rsidRDefault="0077665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E85B9" w14:textId="7BB9E9A9" w:rsidR="00294264" w:rsidRDefault="009009EF" w:rsidP="366CE556">
    <w:pPr>
      <w:pBdr>
        <w:top w:val="nil"/>
        <w:left w:val="nil"/>
        <w:bottom w:val="nil"/>
        <w:right w:val="nil"/>
        <w:between w:val="nil"/>
      </w:pBdr>
      <w:tabs>
        <w:tab w:val="center" w:pos="4536"/>
        <w:tab w:val="right" w:pos="9072"/>
        <w:tab w:val="left" w:pos="5832"/>
      </w:tabs>
      <w:spacing w:line="240" w:lineRule="auto"/>
    </w:pPr>
    <w:r>
      <w:rPr>
        <w:noProof/>
        <w:lang w:val="en"/>
      </w:rPr>
      <w:drawing>
        <wp:anchor distT="0" distB="0" distL="114300" distR="114300" simplePos="0" relativeHeight="251658241" behindDoc="0" locked="0" layoutInCell="1" allowOverlap="1" wp14:anchorId="76EEFF2A" wp14:editId="654F2C0E">
          <wp:simplePos x="0" y="0"/>
          <wp:positionH relativeFrom="margin">
            <wp:posOffset>4485640</wp:posOffset>
          </wp:positionH>
          <wp:positionV relativeFrom="paragraph">
            <wp:posOffset>114300</wp:posOffset>
          </wp:positionV>
          <wp:extent cx="1270635" cy="429260"/>
          <wp:effectExtent l="0" t="0" r="5715" b="8890"/>
          <wp:wrapNone/>
          <wp:docPr id="1008841005" name="image2.png">
            <a:extLst xmlns:a="http://schemas.openxmlformats.org/drawingml/2006/main">
              <a:ext uri="{FF2B5EF4-FFF2-40B4-BE49-F238E27FC236}">
                <a16:creationId xmlns:a16="http://schemas.microsoft.com/office/drawing/2014/main" id="{93FA8EE8-F1B3-4DED-8089-60283746492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1">
                    <a:extLst>
                      <a:ext uri="{28A0092B-C50C-407E-A947-70E740481C1C}">
                        <a14:useLocalDpi xmlns:a14="http://schemas.microsoft.com/office/drawing/2010/main" val="0"/>
                      </a:ext>
                    </a:extLst>
                  </a:blip>
                  <a:stretch>
                    <a:fillRect/>
                  </a:stretch>
                </pic:blipFill>
                <pic:spPr>
                  <a:xfrm>
                    <a:off x="0" y="0"/>
                    <a:ext cx="1270635" cy="429260"/>
                  </a:xfrm>
                  <a:prstGeom prst="rect">
                    <a:avLst/>
                  </a:prstGeom>
                  <a:ln/>
                </pic:spPr>
              </pic:pic>
            </a:graphicData>
          </a:graphic>
        </wp:anchor>
      </w:drawing>
    </w:r>
    <w:r>
      <w:rPr>
        <w:lang w:val="en"/>
      </w:rPr>
      <w:t xml:space="preserve">                                                                                                         </w:t>
    </w:r>
  </w:p>
  <w:p w14:paraId="5A0CF9D9" w14:textId="2645FC1F" w:rsidR="00294264" w:rsidRDefault="009009EF">
    <w:pPr>
      <w:pBdr>
        <w:top w:val="nil"/>
        <w:left w:val="nil"/>
        <w:bottom w:val="nil"/>
        <w:right w:val="nil"/>
        <w:between w:val="nil"/>
      </w:pBdr>
      <w:tabs>
        <w:tab w:val="center" w:pos="4536"/>
        <w:tab w:val="right" w:pos="9072"/>
        <w:tab w:val="left" w:pos="5832"/>
      </w:tabs>
      <w:spacing w:line="240" w:lineRule="auto"/>
    </w:pPr>
    <w:r>
      <w:rPr>
        <w:noProof/>
        <w:lang w:val="en"/>
      </w:rPr>
      <w:drawing>
        <wp:anchor distT="0" distB="0" distL="114300" distR="114300" simplePos="0" relativeHeight="251658240" behindDoc="0" locked="0" layoutInCell="1" allowOverlap="1" wp14:anchorId="1A161C21" wp14:editId="47767BF1">
          <wp:simplePos x="0" y="0"/>
          <wp:positionH relativeFrom="margin">
            <wp:posOffset>193583</wp:posOffset>
          </wp:positionH>
          <wp:positionV relativeFrom="paragraph">
            <wp:posOffset>6985</wp:posOffset>
          </wp:positionV>
          <wp:extent cx="1123792" cy="327660"/>
          <wp:effectExtent l="0" t="0" r="635" b="0"/>
          <wp:wrapNone/>
          <wp:docPr id="236981271" name="Obraz 1">
            <a:extLst xmlns:a="http://schemas.openxmlformats.org/drawingml/2006/main">
              <a:ext uri="{FF2B5EF4-FFF2-40B4-BE49-F238E27FC236}">
                <a16:creationId xmlns:a16="http://schemas.microsoft.com/office/drawing/2014/main" id="{2256FD97-0D6B-4EAF-9780-80B6866139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981271" name="Obraz 1"/>
                  <pic:cNvPicPr/>
                </pic:nvPicPr>
                <pic:blipFill>
                  <a:blip r:embed="rId2">
                    <a:extLst>
                      <a:ext uri="{28A0092B-C50C-407E-A947-70E740481C1C}">
                        <a14:useLocalDpi xmlns:a14="http://schemas.microsoft.com/office/drawing/2010/main" val="0"/>
                      </a:ext>
                    </a:extLst>
                  </a:blip>
                  <a:stretch>
                    <a:fillRect/>
                  </a:stretch>
                </pic:blipFill>
                <pic:spPr>
                  <a:xfrm>
                    <a:off x="0" y="0"/>
                    <a:ext cx="1123792" cy="327660"/>
                  </a:xfrm>
                  <a:prstGeom prst="rect">
                    <a:avLst/>
                  </a:prstGeom>
                </pic:spPr>
              </pic:pic>
            </a:graphicData>
          </a:graphic>
          <wp14:sizeRelH relativeFrom="margin">
            <wp14:pctWidth>0</wp14:pctWidth>
          </wp14:sizeRelH>
          <wp14:sizeRelV relativeFrom="margin">
            <wp14:pctHeight>0</wp14:pctHeight>
          </wp14:sizeRelV>
        </wp:anchor>
      </w:drawing>
    </w:r>
    <w:r>
      <w:rPr>
        <w:lang w:val="en"/>
      </w:rPr>
      <w:tab/>
    </w:r>
  </w:p>
  <w:p w14:paraId="3ED9EC8C" w14:textId="77777777" w:rsidR="00FF0924" w:rsidRDefault="00FF0924">
    <w:pPr>
      <w:pBdr>
        <w:top w:val="nil"/>
        <w:left w:val="nil"/>
        <w:bottom w:val="nil"/>
        <w:right w:val="nil"/>
        <w:between w:val="nil"/>
      </w:pBdr>
      <w:tabs>
        <w:tab w:val="center" w:pos="4536"/>
        <w:tab w:val="right" w:pos="9072"/>
      </w:tabs>
      <w:spacing w:line="240" w:lineRule="auto"/>
    </w:pPr>
  </w:p>
  <w:p w14:paraId="1FC8ED9B" w14:textId="02A80898" w:rsidR="00827350" w:rsidRDefault="00827350" w:rsidP="366CE556">
    <w:pPr>
      <w:pBdr>
        <w:top w:val="nil"/>
        <w:left w:val="nil"/>
        <w:bottom w:val="nil"/>
        <w:right w:val="nil"/>
        <w:between w:val="nil"/>
      </w:pBdr>
      <w:tabs>
        <w:tab w:val="center" w:pos="4536"/>
        <w:tab w:val="right" w:pos="9072"/>
        <w:tab w:val="left" w:pos="5832"/>
      </w:tabs>
      <w:spacing w:line="240" w:lineRule="auto"/>
    </w:pPr>
    <w:r>
      <w:rPr>
        <w:lang w:val="en"/>
      </w:rPr>
      <w:t xml:space="preserve">                                                                                                         </w:t>
    </w:r>
  </w:p>
  <w:p w14:paraId="7A502820" w14:textId="332DE49C" w:rsidR="00827350" w:rsidRDefault="00827350">
    <w:pPr>
      <w:pBdr>
        <w:top w:val="nil"/>
        <w:left w:val="nil"/>
        <w:bottom w:val="nil"/>
        <w:right w:val="nil"/>
        <w:between w:val="nil"/>
      </w:pBdr>
      <w:tabs>
        <w:tab w:val="center" w:pos="4536"/>
        <w:tab w:val="right" w:pos="9072"/>
        <w:tab w:val="left" w:pos="5832"/>
      </w:tabs>
      <w:spacing w:line="240" w:lineRule="auto"/>
    </w:pPr>
    <w:r>
      <w:rPr>
        <w:lang w:val="en"/>
      </w:rPr>
      <w:tab/>
    </w:r>
  </w:p>
  <w:p w14:paraId="70204524" w14:textId="77777777" w:rsidR="00827350" w:rsidRDefault="00827350">
    <w:pPr>
      <w:pBdr>
        <w:top w:val="nil"/>
        <w:left w:val="nil"/>
        <w:bottom w:val="nil"/>
        <w:right w:val="nil"/>
        <w:between w:val="nil"/>
      </w:pBdr>
      <w:tabs>
        <w:tab w:val="center" w:pos="4536"/>
        <w:tab w:val="right" w:pos="9072"/>
      </w:tabs>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696365"/>
    <w:multiLevelType w:val="hybridMultilevel"/>
    <w:tmpl w:val="28D866BE"/>
    <w:lvl w:ilvl="0" w:tplc="25688CDA">
      <w:start w:val="1"/>
      <w:numFmt w:val="bullet"/>
      <w:lvlText w:val=""/>
      <w:lvlJc w:val="left"/>
      <w:pPr>
        <w:ind w:left="720" w:hanging="360"/>
      </w:pPr>
      <w:rPr>
        <w:rFonts w:ascii="Symbol" w:hAnsi="Symbol" w:hint="default"/>
      </w:rPr>
    </w:lvl>
    <w:lvl w:ilvl="1" w:tplc="F52C2A98">
      <w:start w:val="1"/>
      <w:numFmt w:val="bullet"/>
      <w:lvlText w:val="o"/>
      <w:lvlJc w:val="left"/>
      <w:pPr>
        <w:ind w:left="1440" w:hanging="360"/>
      </w:pPr>
      <w:rPr>
        <w:rFonts w:ascii="Courier New" w:hAnsi="Courier New" w:hint="default"/>
      </w:rPr>
    </w:lvl>
    <w:lvl w:ilvl="2" w:tplc="64965666">
      <w:start w:val="1"/>
      <w:numFmt w:val="bullet"/>
      <w:lvlText w:val=""/>
      <w:lvlJc w:val="left"/>
      <w:pPr>
        <w:ind w:left="2160" w:hanging="360"/>
      </w:pPr>
      <w:rPr>
        <w:rFonts w:ascii="Wingdings" w:hAnsi="Wingdings" w:hint="default"/>
      </w:rPr>
    </w:lvl>
    <w:lvl w:ilvl="3" w:tplc="F89AAF08">
      <w:start w:val="1"/>
      <w:numFmt w:val="bullet"/>
      <w:lvlText w:val=""/>
      <w:lvlJc w:val="left"/>
      <w:pPr>
        <w:ind w:left="2880" w:hanging="360"/>
      </w:pPr>
      <w:rPr>
        <w:rFonts w:ascii="Symbol" w:hAnsi="Symbol" w:hint="default"/>
      </w:rPr>
    </w:lvl>
    <w:lvl w:ilvl="4" w:tplc="7194DB20">
      <w:start w:val="1"/>
      <w:numFmt w:val="bullet"/>
      <w:lvlText w:val="o"/>
      <w:lvlJc w:val="left"/>
      <w:pPr>
        <w:ind w:left="3600" w:hanging="360"/>
      </w:pPr>
      <w:rPr>
        <w:rFonts w:ascii="Courier New" w:hAnsi="Courier New" w:hint="default"/>
      </w:rPr>
    </w:lvl>
    <w:lvl w:ilvl="5" w:tplc="EE3C1326">
      <w:start w:val="1"/>
      <w:numFmt w:val="bullet"/>
      <w:lvlText w:val=""/>
      <w:lvlJc w:val="left"/>
      <w:pPr>
        <w:ind w:left="4320" w:hanging="360"/>
      </w:pPr>
      <w:rPr>
        <w:rFonts w:ascii="Wingdings" w:hAnsi="Wingdings" w:hint="default"/>
      </w:rPr>
    </w:lvl>
    <w:lvl w:ilvl="6" w:tplc="2008504C">
      <w:start w:val="1"/>
      <w:numFmt w:val="bullet"/>
      <w:lvlText w:val=""/>
      <w:lvlJc w:val="left"/>
      <w:pPr>
        <w:ind w:left="5040" w:hanging="360"/>
      </w:pPr>
      <w:rPr>
        <w:rFonts w:ascii="Symbol" w:hAnsi="Symbol" w:hint="default"/>
      </w:rPr>
    </w:lvl>
    <w:lvl w:ilvl="7" w:tplc="D1E4912E">
      <w:start w:val="1"/>
      <w:numFmt w:val="bullet"/>
      <w:lvlText w:val="o"/>
      <w:lvlJc w:val="left"/>
      <w:pPr>
        <w:ind w:left="5760" w:hanging="360"/>
      </w:pPr>
      <w:rPr>
        <w:rFonts w:ascii="Courier New" w:hAnsi="Courier New" w:hint="default"/>
      </w:rPr>
    </w:lvl>
    <w:lvl w:ilvl="8" w:tplc="2C02AE18">
      <w:start w:val="1"/>
      <w:numFmt w:val="bullet"/>
      <w:lvlText w:val=""/>
      <w:lvlJc w:val="left"/>
      <w:pPr>
        <w:ind w:left="6480" w:hanging="360"/>
      </w:pPr>
      <w:rPr>
        <w:rFonts w:ascii="Wingdings" w:hAnsi="Wingdings" w:hint="default"/>
      </w:rPr>
    </w:lvl>
  </w:abstractNum>
  <w:num w:numId="1" w16cid:durableId="1189949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264"/>
    <w:rsid w:val="00011053"/>
    <w:rsid w:val="0001182F"/>
    <w:rsid w:val="00013419"/>
    <w:rsid w:val="000211EF"/>
    <w:rsid w:val="000233F7"/>
    <w:rsid w:val="00026043"/>
    <w:rsid w:val="0003725D"/>
    <w:rsid w:val="00040DCF"/>
    <w:rsid w:val="00042908"/>
    <w:rsid w:val="00043F9B"/>
    <w:rsid w:val="00046719"/>
    <w:rsid w:val="0005131D"/>
    <w:rsid w:val="0005719D"/>
    <w:rsid w:val="000656C2"/>
    <w:rsid w:val="00076529"/>
    <w:rsid w:val="00077C41"/>
    <w:rsid w:val="00082F3A"/>
    <w:rsid w:val="0009081D"/>
    <w:rsid w:val="000A0B77"/>
    <w:rsid w:val="000C1965"/>
    <w:rsid w:val="000C2865"/>
    <w:rsid w:val="000D78BF"/>
    <w:rsid w:val="000D7E73"/>
    <w:rsid w:val="00100F49"/>
    <w:rsid w:val="0010111B"/>
    <w:rsid w:val="00103B0B"/>
    <w:rsid w:val="001108C7"/>
    <w:rsid w:val="0012063E"/>
    <w:rsid w:val="00122CBB"/>
    <w:rsid w:val="00122E3B"/>
    <w:rsid w:val="00123C58"/>
    <w:rsid w:val="001261DD"/>
    <w:rsid w:val="00146666"/>
    <w:rsid w:val="001504D5"/>
    <w:rsid w:val="00157E33"/>
    <w:rsid w:val="00166A4E"/>
    <w:rsid w:val="00180DCA"/>
    <w:rsid w:val="00184DD3"/>
    <w:rsid w:val="0019608F"/>
    <w:rsid w:val="00197DCE"/>
    <w:rsid w:val="001A7B52"/>
    <w:rsid w:val="001B3020"/>
    <w:rsid w:val="001B7B06"/>
    <w:rsid w:val="001B7CC2"/>
    <w:rsid w:val="001C1A4E"/>
    <w:rsid w:val="001C2CE7"/>
    <w:rsid w:val="001C59AF"/>
    <w:rsid w:val="001E38D9"/>
    <w:rsid w:val="001E4D36"/>
    <w:rsid w:val="001E699F"/>
    <w:rsid w:val="001F1DEC"/>
    <w:rsid w:val="001F3EC4"/>
    <w:rsid w:val="001F40D7"/>
    <w:rsid w:val="00205F24"/>
    <w:rsid w:val="00212DC2"/>
    <w:rsid w:val="00220474"/>
    <w:rsid w:val="0022490F"/>
    <w:rsid w:val="00224F83"/>
    <w:rsid w:val="00231081"/>
    <w:rsid w:val="002350DF"/>
    <w:rsid w:val="0023611C"/>
    <w:rsid w:val="00237E05"/>
    <w:rsid w:val="00240697"/>
    <w:rsid w:val="002432CF"/>
    <w:rsid w:val="00244A19"/>
    <w:rsid w:val="00253147"/>
    <w:rsid w:val="00257125"/>
    <w:rsid w:val="00257234"/>
    <w:rsid w:val="00260DD0"/>
    <w:rsid w:val="002807DB"/>
    <w:rsid w:val="00294264"/>
    <w:rsid w:val="002A0F95"/>
    <w:rsid w:val="002A560A"/>
    <w:rsid w:val="002B518B"/>
    <w:rsid w:val="002B6F6B"/>
    <w:rsid w:val="002C00ED"/>
    <w:rsid w:val="002C5383"/>
    <w:rsid w:val="002C5800"/>
    <w:rsid w:val="002D0E8A"/>
    <w:rsid w:val="002E1436"/>
    <w:rsid w:val="002E4A9F"/>
    <w:rsid w:val="002E6D8C"/>
    <w:rsid w:val="002F5439"/>
    <w:rsid w:val="003002BD"/>
    <w:rsid w:val="0030162B"/>
    <w:rsid w:val="00303FC1"/>
    <w:rsid w:val="003050B4"/>
    <w:rsid w:val="00313BF9"/>
    <w:rsid w:val="003249B8"/>
    <w:rsid w:val="0034117A"/>
    <w:rsid w:val="00353406"/>
    <w:rsid w:val="00353EDF"/>
    <w:rsid w:val="003579CA"/>
    <w:rsid w:val="003620E3"/>
    <w:rsid w:val="00373F9D"/>
    <w:rsid w:val="003744C4"/>
    <w:rsid w:val="00377124"/>
    <w:rsid w:val="0038432F"/>
    <w:rsid w:val="00391CA5"/>
    <w:rsid w:val="003A2C97"/>
    <w:rsid w:val="003A2FAE"/>
    <w:rsid w:val="003A347E"/>
    <w:rsid w:val="003B45EE"/>
    <w:rsid w:val="003D08B6"/>
    <w:rsid w:val="003D3B3D"/>
    <w:rsid w:val="003D511C"/>
    <w:rsid w:val="003E4FDC"/>
    <w:rsid w:val="003E69D2"/>
    <w:rsid w:val="003F6388"/>
    <w:rsid w:val="003F7670"/>
    <w:rsid w:val="00400C03"/>
    <w:rsid w:val="00400D28"/>
    <w:rsid w:val="004022B5"/>
    <w:rsid w:val="00402DF8"/>
    <w:rsid w:val="004045D2"/>
    <w:rsid w:val="00404F60"/>
    <w:rsid w:val="00424142"/>
    <w:rsid w:val="00424B60"/>
    <w:rsid w:val="004268D0"/>
    <w:rsid w:val="00434590"/>
    <w:rsid w:val="0043587F"/>
    <w:rsid w:val="0043736C"/>
    <w:rsid w:val="00441197"/>
    <w:rsid w:val="004437DB"/>
    <w:rsid w:val="004466E2"/>
    <w:rsid w:val="004568CA"/>
    <w:rsid w:val="004655C1"/>
    <w:rsid w:val="00467426"/>
    <w:rsid w:val="004707F5"/>
    <w:rsid w:val="00472A6F"/>
    <w:rsid w:val="00475BCA"/>
    <w:rsid w:val="00477877"/>
    <w:rsid w:val="00487679"/>
    <w:rsid w:val="004A00ED"/>
    <w:rsid w:val="004B2C5D"/>
    <w:rsid w:val="004B2FDC"/>
    <w:rsid w:val="004B7180"/>
    <w:rsid w:val="004C08B4"/>
    <w:rsid w:val="004C658D"/>
    <w:rsid w:val="004C6BB5"/>
    <w:rsid w:val="004C6D24"/>
    <w:rsid w:val="004D4EFE"/>
    <w:rsid w:val="004D68B3"/>
    <w:rsid w:val="004E165E"/>
    <w:rsid w:val="004E2CC8"/>
    <w:rsid w:val="004E3916"/>
    <w:rsid w:val="004E3AD8"/>
    <w:rsid w:val="004E43A8"/>
    <w:rsid w:val="004E4BAE"/>
    <w:rsid w:val="004E53A0"/>
    <w:rsid w:val="004F22E4"/>
    <w:rsid w:val="004F73DA"/>
    <w:rsid w:val="005001D9"/>
    <w:rsid w:val="005021BB"/>
    <w:rsid w:val="00507624"/>
    <w:rsid w:val="00507D77"/>
    <w:rsid w:val="005131BF"/>
    <w:rsid w:val="0052067E"/>
    <w:rsid w:val="0052222A"/>
    <w:rsid w:val="005258DB"/>
    <w:rsid w:val="005375E0"/>
    <w:rsid w:val="005530FC"/>
    <w:rsid w:val="0055667B"/>
    <w:rsid w:val="005610FE"/>
    <w:rsid w:val="00562CFD"/>
    <w:rsid w:val="005764DD"/>
    <w:rsid w:val="005834EF"/>
    <w:rsid w:val="00585F88"/>
    <w:rsid w:val="005962D5"/>
    <w:rsid w:val="0059755B"/>
    <w:rsid w:val="005A35AF"/>
    <w:rsid w:val="005B0A07"/>
    <w:rsid w:val="005B37E9"/>
    <w:rsid w:val="005C0DF5"/>
    <w:rsid w:val="005C2B67"/>
    <w:rsid w:val="005C38A2"/>
    <w:rsid w:val="005C5C47"/>
    <w:rsid w:val="005C6C48"/>
    <w:rsid w:val="005C6FF8"/>
    <w:rsid w:val="005D1E6E"/>
    <w:rsid w:val="005E4A64"/>
    <w:rsid w:val="005E4BD0"/>
    <w:rsid w:val="005E7233"/>
    <w:rsid w:val="005E7511"/>
    <w:rsid w:val="005F0C8E"/>
    <w:rsid w:val="005F79C4"/>
    <w:rsid w:val="00601922"/>
    <w:rsid w:val="00613225"/>
    <w:rsid w:val="00615595"/>
    <w:rsid w:val="00616F6F"/>
    <w:rsid w:val="00620AD8"/>
    <w:rsid w:val="006237BA"/>
    <w:rsid w:val="00634D48"/>
    <w:rsid w:val="00640502"/>
    <w:rsid w:val="00641C4F"/>
    <w:rsid w:val="006423FD"/>
    <w:rsid w:val="00652B87"/>
    <w:rsid w:val="006552E2"/>
    <w:rsid w:val="006600AB"/>
    <w:rsid w:val="00660EF4"/>
    <w:rsid w:val="00664A78"/>
    <w:rsid w:val="00667DCB"/>
    <w:rsid w:val="00696478"/>
    <w:rsid w:val="006A035E"/>
    <w:rsid w:val="006A124D"/>
    <w:rsid w:val="006C2985"/>
    <w:rsid w:val="006C5332"/>
    <w:rsid w:val="006C75CF"/>
    <w:rsid w:val="006D6215"/>
    <w:rsid w:val="006D644E"/>
    <w:rsid w:val="006E0346"/>
    <w:rsid w:val="006E3706"/>
    <w:rsid w:val="00702EB3"/>
    <w:rsid w:val="00706924"/>
    <w:rsid w:val="00706ABF"/>
    <w:rsid w:val="00717B8D"/>
    <w:rsid w:val="00724826"/>
    <w:rsid w:val="00724B3B"/>
    <w:rsid w:val="00731954"/>
    <w:rsid w:val="007326DB"/>
    <w:rsid w:val="007356DE"/>
    <w:rsid w:val="007370DB"/>
    <w:rsid w:val="00750A22"/>
    <w:rsid w:val="00750F91"/>
    <w:rsid w:val="0075261C"/>
    <w:rsid w:val="00761E8C"/>
    <w:rsid w:val="007666BE"/>
    <w:rsid w:val="00774912"/>
    <w:rsid w:val="00776653"/>
    <w:rsid w:val="00790A1E"/>
    <w:rsid w:val="00791499"/>
    <w:rsid w:val="00793106"/>
    <w:rsid w:val="0079564C"/>
    <w:rsid w:val="007B225C"/>
    <w:rsid w:val="007C2E90"/>
    <w:rsid w:val="007C5116"/>
    <w:rsid w:val="007C6E02"/>
    <w:rsid w:val="007D1B0E"/>
    <w:rsid w:val="007D559D"/>
    <w:rsid w:val="007E2731"/>
    <w:rsid w:val="007F2A31"/>
    <w:rsid w:val="007F638B"/>
    <w:rsid w:val="008008D8"/>
    <w:rsid w:val="00801DE5"/>
    <w:rsid w:val="00803A1C"/>
    <w:rsid w:val="00812217"/>
    <w:rsid w:val="00827350"/>
    <w:rsid w:val="008304D9"/>
    <w:rsid w:val="008347C3"/>
    <w:rsid w:val="00836178"/>
    <w:rsid w:val="0085235C"/>
    <w:rsid w:val="00856095"/>
    <w:rsid w:val="00860603"/>
    <w:rsid w:val="00866A62"/>
    <w:rsid w:val="00875F91"/>
    <w:rsid w:val="0088101D"/>
    <w:rsid w:val="00893BF4"/>
    <w:rsid w:val="008960BF"/>
    <w:rsid w:val="008A24AD"/>
    <w:rsid w:val="008A319E"/>
    <w:rsid w:val="008B1D14"/>
    <w:rsid w:val="008B3EC8"/>
    <w:rsid w:val="008C7470"/>
    <w:rsid w:val="008D088E"/>
    <w:rsid w:val="008D1528"/>
    <w:rsid w:val="008F2BF0"/>
    <w:rsid w:val="008F5E21"/>
    <w:rsid w:val="008F798C"/>
    <w:rsid w:val="0090017C"/>
    <w:rsid w:val="009009EF"/>
    <w:rsid w:val="00901A29"/>
    <w:rsid w:val="00910E6C"/>
    <w:rsid w:val="0091496F"/>
    <w:rsid w:val="00923DA0"/>
    <w:rsid w:val="00925ECA"/>
    <w:rsid w:val="009315AA"/>
    <w:rsid w:val="00933DEF"/>
    <w:rsid w:val="00935249"/>
    <w:rsid w:val="00941C1A"/>
    <w:rsid w:val="009525E5"/>
    <w:rsid w:val="00960700"/>
    <w:rsid w:val="009624A9"/>
    <w:rsid w:val="009669FF"/>
    <w:rsid w:val="0096702C"/>
    <w:rsid w:val="00973AD8"/>
    <w:rsid w:val="00974C90"/>
    <w:rsid w:val="00987D44"/>
    <w:rsid w:val="009A254B"/>
    <w:rsid w:val="009A588C"/>
    <w:rsid w:val="009C00E3"/>
    <w:rsid w:val="009C18FE"/>
    <w:rsid w:val="009C2760"/>
    <w:rsid w:val="009C462F"/>
    <w:rsid w:val="009C7619"/>
    <w:rsid w:val="009C7FB0"/>
    <w:rsid w:val="009D3F92"/>
    <w:rsid w:val="009E1FC3"/>
    <w:rsid w:val="009E3F9A"/>
    <w:rsid w:val="009E55F6"/>
    <w:rsid w:val="009F10DF"/>
    <w:rsid w:val="009F37A9"/>
    <w:rsid w:val="009F386C"/>
    <w:rsid w:val="009F390A"/>
    <w:rsid w:val="009F799F"/>
    <w:rsid w:val="00A010D5"/>
    <w:rsid w:val="00A05002"/>
    <w:rsid w:val="00A0664D"/>
    <w:rsid w:val="00A23FAD"/>
    <w:rsid w:val="00A24CB4"/>
    <w:rsid w:val="00A27AD4"/>
    <w:rsid w:val="00A27E28"/>
    <w:rsid w:val="00A51CFC"/>
    <w:rsid w:val="00A54310"/>
    <w:rsid w:val="00A62664"/>
    <w:rsid w:val="00A71B2C"/>
    <w:rsid w:val="00A71C5D"/>
    <w:rsid w:val="00A728F4"/>
    <w:rsid w:val="00A74094"/>
    <w:rsid w:val="00A74A82"/>
    <w:rsid w:val="00A77689"/>
    <w:rsid w:val="00A8455C"/>
    <w:rsid w:val="00A85642"/>
    <w:rsid w:val="00A91E83"/>
    <w:rsid w:val="00A967F0"/>
    <w:rsid w:val="00AA3D49"/>
    <w:rsid w:val="00AA7AEB"/>
    <w:rsid w:val="00AB0055"/>
    <w:rsid w:val="00AB6DD0"/>
    <w:rsid w:val="00AB7057"/>
    <w:rsid w:val="00AD5CAB"/>
    <w:rsid w:val="00AD639E"/>
    <w:rsid w:val="00AD6E23"/>
    <w:rsid w:val="00AE1FC3"/>
    <w:rsid w:val="00AE2DC9"/>
    <w:rsid w:val="00AE3037"/>
    <w:rsid w:val="00AE364A"/>
    <w:rsid w:val="00AF585E"/>
    <w:rsid w:val="00B029D2"/>
    <w:rsid w:val="00B07264"/>
    <w:rsid w:val="00B22FD2"/>
    <w:rsid w:val="00B25E88"/>
    <w:rsid w:val="00B261B7"/>
    <w:rsid w:val="00B536B5"/>
    <w:rsid w:val="00B87606"/>
    <w:rsid w:val="00B87D03"/>
    <w:rsid w:val="00B90538"/>
    <w:rsid w:val="00B95607"/>
    <w:rsid w:val="00B960D4"/>
    <w:rsid w:val="00BA3136"/>
    <w:rsid w:val="00BA43F5"/>
    <w:rsid w:val="00BC1438"/>
    <w:rsid w:val="00BC38A2"/>
    <w:rsid w:val="00BC4256"/>
    <w:rsid w:val="00BC47D5"/>
    <w:rsid w:val="00BD30E0"/>
    <w:rsid w:val="00BD3416"/>
    <w:rsid w:val="00BE4B7E"/>
    <w:rsid w:val="00BE5B68"/>
    <w:rsid w:val="00BE6AED"/>
    <w:rsid w:val="00BE6C47"/>
    <w:rsid w:val="00BF072F"/>
    <w:rsid w:val="00BF56A1"/>
    <w:rsid w:val="00BF7D69"/>
    <w:rsid w:val="00C072E6"/>
    <w:rsid w:val="00C14E90"/>
    <w:rsid w:val="00C15CBC"/>
    <w:rsid w:val="00C15F0E"/>
    <w:rsid w:val="00C24696"/>
    <w:rsid w:val="00C36E02"/>
    <w:rsid w:val="00C41A83"/>
    <w:rsid w:val="00C4517F"/>
    <w:rsid w:val="00C6346B"/>
    <w:rsid w:val="00C75C4B"/>
    <w:rsid w:val="00C819F0"/>
    <w:rsid w:val="00C85774"/>
    <w:rsid w:val="00CA2F81"/>
    <w:rsid w:val="00CB0A95"/>
    <w:rsid w:val="00CB0E35"/>
    <w:rsid w:val="00CB1128"/>
    <w:rsid w:val="00CC02AE"/>
    <w:rsid w:val="00CC1069"/>
    <w:rsid w:val="00CC1765"/>
    <w:rsid w:val="00CD2949"/>
    <w:rsid w:val="00CD5D8C"/>
    <w:rsid w:val="00CE166C"/>
    <w:rsid w:val="00CE7519"/>
    <w:rsid w:val="00CE7C48"/>
    <w:rsid w:val="00CF77E9"/>
    <w:rsid w:val="00D00279"/>
    <w:rsid w:val="00D00CE7"/>
    <w:rsid w:val="00D040C6"/>
    <w:rsid w:val="00D047CF"/>
    <w:rsid w:val="00D119CC"/>
    <w:rsid w:val="00D15FE6"/>
    <w:rsid w:val="00D16B92"/>
    <w:rsid w:val="00D20844"/>
    <w:rsid w:val="00D24F96"/>
    <w:rsid w:val="00D3124D"/>
    <w:rsid w:val="00D4301E"/>
    <w:rsid w:val="00D436FE"/>
    <w:rsid w:val="00D570EA"/>
    <w:rsid w:val="00D60498"/>
    <w:rsid w:val="00D6719A"/>
    <w:rsid w:val="00D77303"/>
    <w:rsid w:val="00D82B72"/>
    <w:rsid w:val="00D83749"/>
    <w:rsid w:val="00D91C16"/>
    <w:rsid w:val="00D92C8F"/>
    <w:rsid w:val="00D935DA"/>
    <w:rsid w:val="00DA2F93"/>
    <w:rsid w:val="00DA401E"/>
    <w:rsid w:val="00DB49E5"/>
    <w:rsid w:val="00DC1007"/>
    <w:rsid w:val="00DC25AF"/>
    <w:rsid w:val="00DD194C"/>
    <w:rsid w:val="00DD6649"/>
    <w:rsid w:val="00DE4996"/>
    <w:rsid w:val="00DF2C30"/>
    <w:rsid w:val="00E15E89"/>
    <w:rsid w:val="00E1779D"/>
    <w:rsid w:val="00E25408"/>
    <w:rsid w:val="00E41748"/>
    <w:rsid w:val="00E437E8"/>
    <w:rsid w:val="00E466F1"/>
    <w:rsid w:val="00E629DE"/>
    <w:rsid w:val="00E70D53"/>
    <w:rsid w:val="00E72D5A"/>
    <w:rsid w:val="00E73275"/>
    <w:rsid w:val="00E927B9"/>
    <w:rsid w:val="00E97CD1"/>
    <w:rsid w:val="00E97F1D"/>
    <w:rsid w:val="00EB05AF"/>
    <w:rsid w:val="00EB50FF"/>
    <w:rsid w:val="00EB7E72"/>
    <w:rsid w:val="00EC35A9"/>
    <w:rsid w:val="00EE28E7"/>
    <w:rsid w:val="00EE2B18"/>
    <w:rsid w:val="00EE62CE"/>
    <w:rsid w:val="00EE74EA"/>
    <w:rsid w:val="00EF0A2E"/>
    <w:rsid w:val="00EF4BE3"/>
    <w:rsid w:val="00F01366"/>
    <w:rsid w:val="00F033D8"/>
    <w:rsid w:val="00F03B33"/>
    <w:rsid w:val="00F03E5F"/>
    <w:rsid w:val="00F13B9C"/>
    <w:rsid w:val="00F164DE"/>
    <w:rsid w:val="00F2495B"/>
    <w:rsid w:val="00F254C3"/>
    <w:rsid w:val="00F42CDB"/>
    <w:rsid w:val="00F5177E"/>
    <w:rsid w:val="00F537CF"/>
    <w:rsid w:val="00F53D4E"/>
    <w:rsid w:val="00F70045"/>
    <w:rsid w:val="00F73D0A"/>
    <w:rsid w:val="00F74A54"/>
    <w:rsid w:val="00F74E0B"/>
    <w:rsid w:val="00F850DD"/>
    <w:rsid w:val="00F951EC"/>
    <w:rsid w:val="00F97D9F"/>
    <w:rsid w:val="00FC3E72"/>
    <w:rsid w:val="00FD2790"/>
    <w:rsid w:val="00FD6BB7"/>
    <w:rsid w:val="00FD6F35"/>
    <w:rsid w:val="00FF0924"/>
    <w:rsid w:val="00FF0C1A"/>
    <w:rsid w:val="00FF5F00"/>
    <w:rsid w:val="00FF67E1"/>
    <w:rsid w:val="03AC36B6"/>
    <w:rsid w:val="03C46BB6"/>
    <w:rsid w:val="03CEBEDB"/>
    <w:rsid w:val="04293A1F"/>
    <w:rsid w:val="043F9F19"/>
    <w:rsid w:val="0511B470"/>
    <w:rsid w:val="05966B31"/>
    <w:rsid w:val="08BD28B2"/>
    <w:rsid w:val="090908F7"/>
    <w:rsid w:val="09114EE3"/>
    <w:rsid w:val="09599057"/>
    <w:rsid w:val="0968DEF8"/>
    <w:rsid w:val="09AFB79C"/>
    <w:rsid w:val="0A23610C"/>
    <w:rsid w:val="0C98AF9B"/>
    <w:rsid w:val="0CA8C5FA"/>
    <w:rsid w:val="0E099625"/>
    <w:rsid w:val="0E585665"/>
    <w:rsid w:val="0FD38FC8"/>
    <w:rsid w:val="106C010C"/>
    <w:rsid w:val="11D80833"/>
    <w:rsid w:val="11F7A2D8"/>
    <w:rsid w:val="12173D88"/>
    <w:rsid w:val="125617DF"/>
    <w:rsid w:val="12753944"/>
    <w:rsid w:val="1329F203"/>
    <w:rsid w:val="1399C001"/>
    <w:rsid w:val="14039208"/>
    <w:rsid w:val="166ECDDD"/>
    <w:rsid w:val="16B06130"/>
    <w:rsid w:val="172EAEC2"/>
    <w:rsid w:val="192959F8"/>
    <w:rsid w:val="19F90065"/>
    <w:rsid w:val="1A01A43A"/>
    <w:rsid w:val="1B4E4266"/>
    <w:rsid w:val="1B5457F4"/>
    <w:rsid w:val="1C9CD17D"/>
    <w:rsid w:val="1D737593"/>
    <w:rsid w:val="1E696500"/>
    <w:rsid w:val="2054FAA0"/>
    <w:rsid w:val="20AC30C8"/>
    <w:rsid w:val="2166F4F0"/>
    <w:rsid w:val="24413D91"/>
    <w:rsid w:val="2514B5D1"/>
    <w:rsid w:val="29610BF0"/>
    <w:rsid w:val="2C94658A"/>
    <w:rsid w:val="2DA7BCBD"/>
    <w:rsid w:val="31098772"/>
    <w:rsid w:val="31A66FFF"/>
    <w:rsid w:val="31A84AF2"/>
    <w:rsid w:val="3247E8AF"/>
    <w:rsid w:val="32F1DA26"/>
    <w:rsid w:val="332E35A3"/>
    <w:rsid w:val="33B5CD46"/>
    <w:rsid w:val="34818FFE"/>
    <w:rsid w:val="34FA6764"/>
    <w:rsid w:val="354FE832"/>
    <w:rsid w:val="3594FB4B"/>
    <w:rsid w:val="35DEF0EE"/>
    <w:rsid w:val="366CE556"/>
    <w:rsid w:val="370BF468"/>
    <w:rsid w:val="37855248"/>
    <w:rsid w:val="380CF857"/>
    <w:rsid w:val="39287EDA"/>
    <w:rsid w:val="39E90A46"/>
    <w:rsid w:val="3C0CBF90"/>
    <w:rsid w:val="3C298A85"/>
    <w:rsid w:val="3C9887CB"/>
    <w:rsid w:val="3E350E8E"/>
    <w:rsid w:val="3F5B14E1"/>
    <w:rsid w:val="3F8EA412"/>
    <w:rsid w:val="41203650"/>
    <w:rsid w:val="41BA9B53"/>
    <w:rsid w:val="42EE8E1F"/>
    <w:rsid w:val="43B009CC"/>
    <w:rsid w:val="44501761"/>
    <w:rsid w:val="459038A9"/>
    <w:rsid w:val="45C980BC"/>
    <w:rsid w:val="45F3F5A2"/>
    <w:rsid w:val="468CF8FB"/>
    <w:rsid w:val="4809EF1C"/>
    <w:rsid w:val="493A5E46"/>
    <w:rsid w:val="4994E46A"/>
    <w:rsid w:val="4BB321F2"/>
    <w:rsid w:val="4BE5720A"/>
    <w:rsid w:val="4DFB5073"/>
    <w:rsid w:val="4E1FCB63"/>
    <w:rsid w:val="4E52888C"/>
    <w:rsid w:val="4F5AD3F5"/>
    <w:rsid w:val="4FF693B4"/>
    <w:rsid w:val="50457F6C"/>
    <w:rsid w:val="505B4B4C"/>
    <w:rsid w:val="5095031E"/>
    <w:rsid w:val="50BA309C"/>
    <w:rsid w:val="515B45EB"/>
    <w:rsid w:val="51708B25"/>
    <w:rsid w:val="518C23FC"/>
    <w:rsid w:val="51CFFDC4"/>
    <w:rsid w:val="542A6236"/>
    <w:rsid w:val="5572279F"/>
    <w:rsid w:val="57553D2E"/>
    <w:rsid w:val="579AAD24"/>
    <w:rsid w:val="57B6074B"/>
    <w:rsid w:val="595B18D9"/>
    <w:rsid w:val="5C5B9D45"/>
    <w:rsid w:val="5E887E30"/>
    <w:rsid w:val="5F7E7F95"/>
    <w:rsid w:val="6123E697"/>
    <w:rsid w:val="63162A37"/>
    <w:rsid w:val="633E07D7"/>
    <w:rsid w:val="69DE25EF"/>
    <w:rsid w:val="6C24BE68"/>
    <w:rsid w:val="6CEED028"/>
    <w:rsid w:val="6D91C65D"/>
    <w:rsid w:val="6DF20F45"/>
    <w:rsid w:val="6F071278"/>
    <w:rsid w:val="6F8C1D3A"/>
    <w:rsid w:val="7081ACDD"/>
    <w:rsid w:val="70E74EE2"/>
    <w:rsid w:val="71875F74"/>
    <w:rsid w:val="7249EC3C"/>
    <w:rsid w:val="72A0A9BD"/>
    <w:rsid w:val="75553B22"/>
    <w:rsid w:val="757DBD2B"/>
    <w:rsid w:val="794AE5FF"/>
    <w:rsid w:val="79F485EB"/>
    <w:rsid w:val="7B1D0161"/>
    <w:rsid w:val="7D038D98"/>
    <w:rsid w:val="7E69A3FA"/>
    <w:rsid w:val="7EF3C7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EAE86C"/>
  <w15:docId w15:val="{30689FBA-F2C7-4C60-A2CC-CC98A2BB6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A"/>
        <w:sz w:val="22"/>
        <w:szCs w:val="22"/>
        <w:lang w:va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uiPriority w:val="9"/>
    <w:qFormat/>
    <w:pPr>
      <w:keepNext/>
      <w:keepLines/>
      <w:spacing w:before="400" w:after="120"/>
      <w:outlineLvl w:val="0"/>
    </w:pPr>
    <w:rPr>
      <w:sz w:val="40"/>
      <w:szCs w:val="40"/>
    </w:rPr>
  </w:style>
  <w:style w:type="paragraph" w:styleId="Nagwek2">
    <w:name w:val="heading 2"/>
    <w:basedOn w:val="Normalny"/>
    <w:uiPriority w:val="9"/>
    <w:semiHidden/>
    <w:unhideWhenUsed/>
    <w:qFormat/>
    <w:pPr>
      <w:keepNext/>
      <w:keepLines/>
      <w:spacing w:before="360" w:after="120"/>
      <w:outlineLvl w:val="1"/>
    </w:pPr>
    <w:rPr>
      <w:sz w:val="32"/>
      <w:szCs w:val="32"/>
    </w:rPr>
  </w:style>
  <w:style w:type="paragraph" w:styleId="Nagwek3">
    <w:name w:val="heading 3"/>
    <w:basedOn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uiPriority w:val="9"/>
    <w:semiHidden/>
    <w:unhideWhenUsed/>
    <w:qFormat/>
    <w:pPr>
      <w:keepNext/>
      <w:keepLines/>
      <w:spacing w:before="240" w:after="80"/>
      <w:outlineLvl w:val="4"/>
    </w:pPr>
    <w:rPr>
      <w:color w:val="666666"/>
    </w:rPr>
  </w:style>
  <w:style w:type="paragraph" w:styleId="Nagwek6">
    <w:name w:val="heading 6"/>
    <w:basedOn w:val="Normalny"/>
    <w:uiPriority w:val="9"/>
    <w:semiHidden/>
    <w:unhideWhenUsed/>
    <w:qFormat/>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table" w:customStyle="1" w:styleId="TableNormal1">
    <w:name w:val="Table Normal1"/>
    <w:tblPr>
      <w:tblCellMar>
        <w:top w:w="0" w:type="dxa"/>
        <w:left w:w="0" w:type="dxa"/>
        <w:bottom w:w="0" w:type="dxa"/>
        <w:right w:w="0" w:type="dxa"/>
      </w:tblCellMar>
    </w:tblPr>
  </w:style>
  <w:style w:type="paragraph" w:styleId="Tytu">
    <w:name w:val="Title"/>
    <w:basedOn w:val="Normalny"/>
    <w:uiPriority w:val="10"/>
    <w:qFormat/>
    <w:pPr>
      <w:keepNext/>
      <w:keepLines/>
      <w:spacing w:after="60"/>
    </w:pPr>
    <w:rPr>
      <w:sz w:val="52"/>
      <w:szCs w:val="52"/>
    </w:rPr>
  </w:style>
  <w:style w:type="paragraph" w:styleId="Nagwek">
    <w:name w:val="header"/>
    <w:basedOn w:val="Normalny"/>
    <w:link w:val="NagwekZnak1"/>
    <w:uiPriority w:val="99"/>
    <w:unhideWhenUsed/>
    <w:rsid w:val="005B37E9"/>
    <w:pPr>
      <w:tabs>
        <w:tab w:val="center" w:pos="4536"/>
        <w:tab w:val="right" w:pos="9072"/>
      </w:tabs>
      <w:spacing w:line="240" w:lineRule="auto"/>
    </w:pPr>
  </w:style>
  <w:style w:type="character" w:customStyle="1" w:styleId="CommentReference">
    <w:name w:val="Comment Reference"/>
    <w:basedOn w:val="Domylnaczcionkaakapitu"/>
    <w:uiPriority w:val="99"/>
    <w:semiHidden/>
    <w:unhideWhenUsed/>
    <w:qFormat/>
    <w:rPr>
      <w:sz w:val="16"/>
      <w:szCs w:val="16"/>
    </w:rPr>
  </w:style>
  <w:style w:type="character" w:customStyle="1" w:styleId="NagwekZnak1">
    <w:name w:val="Nagłówek Znak1"/>
    <w:basedOn w:val="Domylnaczcionkaakapitu"/>
    <w:link w:val="Nagwek"/>
    <w:uiPriority w:val="99"/>
    <w:rsid w:val="005B37E9"/>
  </w:style>
  <w:style w:type="paragraph" w:styleId="Stopka">
    <w:name w:val="footer"/>
    <w:basedOn w:val="Normalny"/>
    <w:link w:val="StopkaZnak1"/>
    <w:uiPriority w:val="99"/>
    <w:unhideWhenUsed/>
    <w:rsid w:val="005B37E9"/>
    <w:pPr>
      <w:tabs>
        <w:tab w:val="center" w:pos="4536"/>
        <w:tab w:val="right" w:pos="9072"/>
      </w:tabs>
      <w:spacing w:line="240" w:lineRule="auto"/>
    </w:pPr>
  </w:style>
  <w:style w:type="character" w:customStyle="1" w:styleId="StopkaZnak1">
    <w:name w:val="Stopka Znak1"/>
    <w:basedOn w:val="Domylnaczcionkaakapitu"/>
    <w:link w:val="Stopka"/>
    <w:uiPriority w:val="99"/>
    <w:rsid w:val="005B37E9"/>
  </w:style>
  <w:style w:type="paragraph" w:styleId="Tekstkomentarza">
    <w:name w:val="annotation text"/>
    <w:basedOn w:val="Normalny"/>
    <w:link w:val="TekstkomentarzaZnak1"/>
    <w:uiPriority w:val="99"/>
    <w:unhideWhenUsed/>
    <w:rsid w:val="002E4A9F"/>
    <w:pPr>
      <w:spacing w:line="240" w:lineRule="auto"/>
    </w:pPr>
    <w:rPr>
      <w:sz w:val="20"/>
      <w:szCs w:val="20"/>
    </w:rPr>
  </w:style>
  <w:style w:type="character" w:styleId="Pogrubienie">
    <w:name w:val="Strong"/>
    <w:basedOn w:val="Domylnaczcionkaakapitu"/>
    <w:uiPriority w:val="22"/>
    <w:qFormat/>
    <w:rsid w:val="00581F9E"/>
    <w:rPr>
      <w:b/>
      <w:bCs/>
    </w:rPr>
  </w:style>
  <w:style w:type="character" w:customStyle="1" w:styleId="czeinternetowe">
    <w:name w:val="Łącze internetowe"/>
    <w:basedOn w:val="Domylnaczcionkaakapitu"/>
    <w:uiPriority w:val="99"/>
    <w:unhideWhenUsed/>
    <w:rsid w:val="00AB215D"/>
    <w:rPr>
      <w:color w:val="0000FF"/>
      <w:u w:val="single"/>
    </w:rPr>
  </w:style>
  <w:style w:type="character" w:customStyle="1" w:styleId="Ohne">
    <w:name w:val="Ohne"/>
    <w:qFormat/>
    <w:rsid w:val="00AB215D"/>
  </w:style>
  <w:style w:type="character" w:customStyle="1" w:styleId="ListLabel1">
    <w:name w:val="ListLabel 1"/>
    <w:qFormat/>
    <w:rPr>
      <w:sz w:val="20"/>
    </w:rPr>
  </w:style>
  <w:style w:type="character" w:customStyle="1" w:styleId="ListLabel2">
    <w:name w:val="ListLabel 2"/>
    <w:qFormat/>
    <w:rPr>
      <w:sz w:val="20"/>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rFonts w:eastAsia="Calibri" w:cs="Calibri"/>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eastAsia="Calibri" w:cs="Calibri"/>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eastAsia="Calibri" w:cs="Calibri"/>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eastAsia="Calibri" w:cs="Calibri"/>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eastAsia="Calibri" w:cs="Calibri"/>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eastAsia="Calibri" w:cs="Calibri"/>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eastAsia="Calibri" w:cs="Calibri"/>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eastAsia="Calibri" w:cs="Calibri"/>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eastAsia="Calibri" w:cs="Calibri"/>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eastAsia="Calibri" w:cs="Calibri"/>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eastAsia="Calibri" w:cs="Calibri"/>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eastAsia="Calibri" w:cs="Calibri"/>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eastAsia="Calibri" w:cs="Calibri"/>
      <w:i/>
      <w:color w:val="000000"/>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eastAsia="Calibri" w:cs="Calibri"/>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eastAsia="Calibri" w:cs="Calibri"/>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eastAsia="Calibri" w:cs="Calibri"/>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rFonts w:eastAsia="Calibri" w:cs="Calibri"/>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cs="Courier New"/>
    </w:rPr>
  </w:style>
  <w:style w:type="character" w:customStyle="1" w:styleId="ListLabel78">
    <w:name w:val="ListLabel 78"/>
    <w:qFormat/>
    <w:rPr>
      <w:rFonts w:eastAsia="Calibri" w:cs="Calibri"/>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rFonts w:eastAsia="Calibri" w:cs="Calibri"/>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rFonts w:cs="Courier New"/>
    </w:rPr>
  </w:style>
  <w:style w:type="character" w:customStyle="1" w:styleId="ListLabel86">
    <w:name w:val="ListLabel 86"/>
    <w:qFormat/>
    <w:rPr>
      <w:rFonts w:eastAsia="Calibri" w:cs="Calibri"/>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cs="Courier New"/>
    </w:rPr>
  </w:style>
  <w:style w:type="character" w:customStyle="1" w:styleId="ListLabel90">
    <w:name w:val="ListLabel 90"/>
    <w:qFormat/>
    <w:rPr>
      <w:rFonts w:eastAsia="Calibri" w:cs="Calibri"/>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Courier New"/>
    </w:rPr>
  </w:style>
  <w:style w:type="character" w:customStyle="1" w:styleId="ListLabel94">
    <w:name w:val="ListLabel 94"/>
    <w:qFormat/>
    <w:rPr>
      <w:rFonts w:eastAsia="Calibri" w:cs="Calibri"/>
    </w:rPr>
  </w:style>
  <w:style w:type="character" w:customStyle="1" w:styleId="ListLabel95">
    <w:name w:val="ListLabel 95"/>
    <w:qFormat/>
    <w:rPr>
      <w:rFonts w:cs="Courier New"/>
    </w:rPr>
  </w:style>
  <w:style w:type="character" w:customStyle="1" w:styleId="ListLabel96">
    <w:name w:val="ListLabel 96"/>
    <w:qFormat/>
    <w:rPr>
      <w:rFonts w:cs="Courier New"/>
    </w:rPr>
  </w:style>
  <w:style w:type="character" w:customStyle="1" w:styleId="ListLabel97">
    <w:name w:val="ListLabel 97"/>
    <w:qFormat/>
    <w:rPr>
      <w:rFonts w:cs="Courier New"/>
    </w:rPr>
  </w:style>
  <w:style w:type="character" w:customStyle="1" w:styleId="ListLabel98">
    <w:name w:val="ListLabel 98"/>
    <w:qFormat/>
    <w:rPr>
      <w:rFonts w:eastAsia="Calibri" w:cs="Calibri"/>
    </w:rPr>
  </w:style>
  <w:style w:type="character" w:customStyle="1" w:styleId="ListLabel99">
    <w:name w:val="ListLabel 99"/>
    <w:qFormat/>
    <w:rPr>
      <w:rFonts w:cs="Courier New"/>
    </w:rPr>
  </w:style>
  <w:style w:type="character" w:customStyle="1" w:styleId="ListLabel100">
    <w:name w:val="ListLabel 100"/>
    <w:qFormat/>
    <w:rPr>
      <w:rFonts w:cs="Courier New"/>
    </w:rPr>
  </w:style>
  <w:style w:type="character" w:customStyle="1" w:styleId="ListLabel101">
    <w:name w:val="ListLabel 101"/>
    <w:qFormat/>
    <w:rPr>
      <w:rFonts w:cs="Courier New"/>
    </w:rPr>
  </w:style>
  <w:style w:type="character" w:customStyle="1" w:styleId="ListLabel102">
    <w:name w:val="ListLabel 102"/>
    <w:qFormat/>
    <w:rPr>
      <w:rFonts w:eastAsia="Calibri" w:cs="Calibri"/>
    </w:rPr>
  </w:style>
  <w:style w:type="character" w:customStyle="1" w:styleId="ListLabel103">
    <w:name w:val="ListLabel 103"/>
    <w:qFormat/>
    <w:rPr>
      <w:rFonts w:cs="Courier New"/>
    </w:rPr>
  </w:style>
  <w:style w:type="character" w:customStyle="1" w:styleId="ListLabel104">
    <w:name w:val="ListLabel 104"/>
    <w:qFormat/>
    <w:rPr>
      <w:rFonts w:cs="Courier New"/>
    </w:rPr>
  </w:style>
  <w:style w:type="character" w:customStyle="1" w:styleId="ListLabel105">
    <w:name w:val="ListLabel 105"/>
    <w:qFormat/>
    <w:rPr>
      <w:rFonts w:cs="Courier New"/>
    </w:rPr>
  </w:style>
  <w:style w:type="character" w:customStyle="1" w:styleId="ListLabel106">
    <w:name w:val="ListLabel 106"/>
    <w:qFormat/>
    <w:rPr>
      <w:rFonts w:eastAsia="Calibri" w:cs="Calibri"/>
    </w:rPr>
  </w:style>
  <w:style w:type="character" w:customStyle="1" w:styleId="ListLabel107">
    <w:name w:val="ListLabel 107"/>
    <w:qFormat/>
    <w:rPr>
      <w:rFonts w:cs="Courier New"/>
    </w:rPr>
  </w:style>
  <w:style w:type="character" w:customStyle="1" w:styleId="ListLabel108">
    <w:name w:val="ListLabel 108"/>
    <w:qFormat/>
    <w:rPr>
      <w:rFonts w:cs="Courier New"/>
    </w:rPr>
  </w:style>
  <w:style w:type="character" w:customStyle="1" w:styleId="ListLabel109">
    <w:name w:val="ListLabel 109"/>
    <w:qFormat/>
    <w:rPr>
      <w:rFonts w:cs="Courier New"/>
    </w:rPr>
  </w:style>
  <w:style w:type="character" w:customStyle="1" w:styleId="ListLabel110">
    <w:name w:val="ListLabel 110"/>
    <w:qFormat/>
    <w:rPr>
      <w:rFonts w:eastAsia="Calibri" w:cs="Calibri"/>
    </w:rPr>
  </w:style>
  <w:style w:type="character" w:customStyle="1" w:styleId="ListLabel111">
    <w:name w:val="ListLabel 111"/>
    <w:qFormat/>
    <w:rPr>
      <w:rFonts w:cs="Courier New"/>
    </w:rPr>
  </w:style>
  <w:style w:type="character" w:customStyle="1" w:styleId="ListLabel112">
    <w:name w:val="ListLabel 112"/>
    <w:qFormat/>
    <w:rPr>
      <w:rFonts w:cs="Courier New"/>
    </w:rPr>
  </w:style>
  <w:style w:type="character" w:customStyle="1" w:styleId="ListLabel113">
    <w:name w:val="ListLabel 113"/>
    <w:qFormat/>
    <w:rPr>
      <w:rFonts w:cs="Courier New"/>
    </w:rPr>
  </w:style>
  <w:style w:type="character" w:customStyle="1" w:styleId="ListLabel114">
    <w:name w:val="ListLabel 114"/>
    <w:qFormat/>
    <w:rPr>
      <w:rFonts w:eastAsia="Calibri" w:cs="Calibri"/>
      <w:i/>
    </w:rPr>
  </w:style>
  <w:style w:type="character" w:customStyle="1" w:styleId="ListLabel115">
    <w:name w:val="ListLabel 115"/>
    <w:qFormat/>
    <w:rPr>
      <w:rFonts w:cs="Courier New"/>
    </w:rPr>
  </w:style>
  <w:style w:type="character" w:customStyle="1" w:styleId="ListLabel116">
    <w:name w:val="ListLabel 116"/>
    <w:qFormat/>
    <w:rPr>
      <w:rFonts w:cs="Courier New"/>
    </w:rPr>
  </w:style>
  <w:style w:type="character" w:customStyle="1" w:styleId="ListLabel117">
    <w:name w:val="ListLabel 117"/>
    <w:qFormat/>
    <w:rPr>
      <w:rFonts w:cs="Courier New"/>
    </w:rPr>
  </w:style>
  <w:style w:type="character" w:customStyle="1" w:styleId="ListLabel118">
    <w:name w:val="ListLabel 118"/>
    <w:qFormat/>
    <w:rPr>
      <w:rFonts w:eastAsia="Calibri" w:cs="Calibri"/>
      <w:i/>
    </w:rPr>
  </w:style>
  <w:style w:type="character" w:customStyle="1" w:styleId="ListLabel119">
    <w:name w:val="ListLabel 119"/>
    <w:qFormat/>
    <w:rPr>
      <w:rFonts w:cs="Courier New"/>
    </w:rPr>
  </w:style>
  <w:style w:type="character" w:customStyle="1" w:styleId="ListLabel120">
    <w:name w:val="ListLabel 120"/>
    <w:qFormat/>
    <w:rPr>
      <w:rFonts w:cs="Courier New"/>
    </w:rPr>
  </w:style>
  <w:style w:type="character" w:customStyle="1" w:styleId="ListLabel121">
    <w:name w:val="ListLabel 121"/>
    <w:qFormat/>
    <w:rPr>
      <w:rFonts w:cs="Courier New"/>
    </w:rPr>
  </w:style>
  <w:style w:type="character" w:customStyle="1" w:styleId="ListLabel122">
    <w:name w:val="ListLabel 122"/>
    <w:qFormat/>
    <w:rPr>
      <w:rFonts w:eastAsia="Calibri" w:cs="Calibri"/>
      <w:i/>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eastAsia="Arial" w:cs="Calibri"/>
    </w:rPr>
  </w:style>
  <w:style w:type="character" w:customStyle="1" w:styleId="ListLabel127">
    <w:name w:val="ListLabel 127"/>
    <w:qFormat/>
    <w:rPr>
      <w:rFonts w:cs="Courier New"/>
    </w:rPr>
  </w:style>
  <w:style w:type="character" w:customStyle="1" w:styleId="ListLabel128">
    <w:name w:val="ListLabel 128"/>
    <w:qFormat/>
    <w:rPr>
      <w:rFonts w:cs="Courier New"/>
    </w:rPr>
  </w:style>
  <w:style w:type="character" w:customStyle="1" w:styleId="ListLabel129">
    <w:name w:val="ListLabel 129"/>
    <w:qFormat/>
    <w:rPr>
      <w:rFonts w:cs="Courier New"/>
    </w:rPr>
  </w:style>
  <w:style w:type="character" w:customStyle="1" w:styleId="ListLabel130">
    <w:name w:val="ListLabel 130"/>
    <w:qFormat/>
    <w:rPr>
      <w:rFonts w:eastAsia="Arial" w:cs="Calibri"/>
    </w:rPr>
  </w:style>
  <w:style w:type="character" w:customStyle="1" w:styleId="ListLabel131">
    <w:name w:val="ListLabel 131"/>
    <w:qFormat/>
    <w:rPr>
      <w:rFonts w:cs="Courier New"/>
    </w:rPr>
  </w:style>
  <w:style w:type="character" w:customStyle="1" w:styleId="ListLabel132">
    <w:name w:val="ListLabel 132"/>
    <w:qFormat/>
    <w:rPr>
      <w:rFonts w:cs="Courier New"/>
    </w:rPr>
  </w:style>
  <w:style w:type="character" w:customStyle="1" w:styleId="ListLabel133">
    <w:name w:val="ListLabel 133"/>
    <w:qFormat/>
    <w:rPr>
      <w:rFonts w:cs="Courier New"/>
    </w:rPr>
  </w:style>
  <w:style w:type="character" w:customStyle="1" w:styleId="ListLabel134">
    <w:name w:val="ListLabel 134"/>
    <w:qFormat/>
    <w:rPr>
      <w:rFonts w:eastAsia="Calibri" w:cs="Calibri"/>
      <w:i/>
    </w:rPr>
  </w:style>
  <w:style w:type="character" w:customStyle="1" w:styleId="ListLabel135">
    <w:name w:val="ListLabel 135"/>
    <w:qFormat/>
    <w:rPr>
      <w:rFonts w:cs="Courier New"/>
    </w:rPr>
  </w:style>
  <w:style w:type="character" w:customStyle="1" w:styleId="ListLabel136">
    <w:name w:val="ListLabel 136"/>
    <w:qFormat/>
    <w:rPr>
      <w:rFonts w:cs="Courier New"/>
    </w:rPr>
  </w:style>
  <w:style w:type="character" w:customStyle="1" w:styleId="ListLabel137">
    <w:name w:val="ListLabel 137"/>
    <w:qFormat/>
    <w:rPr>
      <w:rFonts w:cs="Courier New"/>
    </w:rPr>
  </w:style>
  <w:style w:type="character" w:customStyle="1" w:styleId="TekstkomentarzaZnak1">
    <w:name w:val="Tekst komentarza Znak1"/>
    <w:basedOn w:val="Domylnaczcionkaakapitu"/>
    <w:link w:val="Tekstkomentarza"/>
    <w:uiPriority w:val="99"/>
    <w:rsid w:val="002E4A9F"/>
    <w:rPr>
      <w:sz w:val="20"/>
      <w:szCs w:val="20"/>
    </w:rPr>
  </w:style>
  <w:style w:type="paragraph" w:styleId="Tekstpodstawowy">
    <w:name w:val="Body Text"/>
    <w:basedOn w:val="Normalny"/>
    <w:pPr>
      <w:spacing w:after="140" w:line="288"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rsid w:val="002735C4"/>
    <w:pPr>
      <w:suppressLineNumbers/>
      <w:suppressAutoHyphens/>
    </w:pPr>
  </w:style>
  <w:style w:type="paragraph" w:styleId="Podtytu">
    <w:name w:val="Subtitle"/>
    <w:basedOn w:val="Normalny"/>
    <w:next w:val="Normalny"/>
    <w:uiPriority w:val="11"/>
    <w:qFormat/>
    <w:pPr>
      <w:keepNext/>
      <w:keepLines/>
      <w:spacing w:after="320"/>
    </w:pPr>
    <w:rPr>
      <w:color w:val="666666"/>
      <w:sz w:val="30"/>
      <w:szCs w:val="30"/>
    </w:rPr>
  </w:style>
  <w:style w:type="paragraph" w:styleId="Tematkomentarza">
    <w:name w:val="annotation subject"/>
    <w:basedOn w:val="Tekstkomentarza"/>
    <w:next w:val="Tekstkomentarza"/>
    <w:link w:val="TematkomentarzaZnak1"/>
    <w:uiPriority w:val="99"/>
    <w:semiHidden/>
    <w:unhideWhenUsed/>
    <w:rsid w:val="002E4A9F"/>
    <w:rPr>
      <w:b/>
      <w:bCs/>
    </w:rPr>
  </w:style>
  <w:style w:type="character" w:customStyle="1" w:styleId="TematkomentarzaZnak1">
    <w:name w:val="Temat komentarza Znak1"/>
    <w:basedOn w:val="TekstkomentarzaZnak1"/>
    <w:link w:val="Tematkomentarza"/>
    <w:uiPriority w:val="99"/>
    <w:semiHidden/>
    <w:rsid w:val="002E4A9F"/>
    <w:rPr>
      <w:b/>
      <w:bCs/>
      <w:sz w:val="20"/>
      <w:szCs w:val="20"/>
    </w:rPr>
  </w:style>
  <w:style w:type="paragraph" w:styleId="NormalnyWeb">
    <w:name w:val="Normal (Web)"/>
    <w:basedOn w:val="Normalny"/>
    <w:uiPriority w:val="99"/>
    <w:semiHidden/>
    <w:unhideWhenUsed/>
    <w:qFormat/>
    <w:rsid w:val="00581F9E"/>
    <w:pPr>
      <w:spacing w:beforeAutospacing="1" w:afterAutospacing="1" w:line="240" w:lineRule="auto"/>
    </w:pPr>
    <w:rPr>
      <w:rFonts w:ascii="Times New Roman" w:eastAsia="Times New Roman" w:hAnsi="Times New Roman" w:cs="Times New Roman"/>
      <w:sz w:val="24"/>
      <w:szCs w:val="24"/>
      <w:lang w:val="pl-PL"/>
    </w:rPr>
  </w:style>
  <w:style w:type="paragraph" w:styleId="Akapitzlist">
    <w:name w:val="List Paragraph"/>
    <w:basedOn w:val="Normalny"/>
    <w:uiPriority w:val="34"/>
    <w:qFormat/>
    <w:rsid w:val="003F569B"/>
    <w:pPr>
      <w:ind w:left="720"/>
      <w:contextualSpacing/>
    </w:pPr>
  </w:style>
  <w:style w:type="paragraph" w:styleId="Poprawka">
    <w:name w:val="Revision"/>
    <w:uiPriority w:val="99"/>
    <w:semiHidden/>
    <w:qFormat/>
    <w:rsid w:val="00396731"/>
  </w:style>
  <w:style w:type="paragraph" w:styleId="Bezodstpw">
    <w:name w:val="No Spacing"/>
    <w:uiPriority w:val="1"/>
    <w:qFormat/>
    <w:rsid w:val="003A477E"/>
    <w:rPr>
      <w:rFonts w:asciiTheme="majorHAnsi" w:hAnsiTheme="majorHAnsi"/>
    </w:rPr>
  </w:style>
  <w:style w:type="table" w:customStyle="1" w:styleId="TableNormal0">
    <w:name w:val="Table Normal0"/>
    <w:tblPr>
      <w:tblCellMar>
        <w:top w:w="0" w:type="dxa"/>
        <w:left w:w="0" w:type="dxa"/>
        <w:bottom w:w="0" w:type="dxa"/>
        <w:right w:w="0" w:type="dxa"/>
      </w:tblCellMar>
    </w:tblPr>
  </w:style>
  <w:style w:type="character" w:styleId="Odwoanieprzypisukocowego">
    <w:name w:val="endnote reference"/>
    <w:basedOn w:val="Domylnaczcionkaakapitu"/>
    <w:uiPriority w:val="99"/>
    <w:semiHidden/>
    <w:unhideWhenUsed/>
    <w:rsid w:val="00822643"/>
    <w:rPr>
      <w:vertAlign w:val="superscript"/>
    </w:rPr>
  </w:style>
  <w:style w:type="character" w:styleId="Hipercze">
    <w:name w:val="Hyperlink"/>
    <w:basedOn w:val="Domylnaczcionkaakapitu"/>
    <w:uiPriority w:val="99"/>
    <w:unhideWhenUsed/>
    <w:rsid w:val="00E474CC"/>
    <w:rPr>
      <w:color w:val="0000FF"/>
      <w:u w:val="single"/>
    </w:rPr>
  </w:style>
  <w:style w:type="character" w:styleId="Nierozpoznanawzmianka">
    <w:name w:val="Unresolved Mention"/>
    <w:basedOn w:val="Domylnaczcionkaakapitu"/>
    <w:uiPriority w:val="99"/>
    <w:semiHidden/>
    <w:unhideWhenUsed/>
    <w:rsid w:val="00581AC5"/>
    <w:rPr>
      <w:color w:val="605E5C"/>
      <w:shd w:val="clear" w:color="auto" w:fill="E1DFDD"/>
    </w:rPr>
  </w:style>
  <w:style w:type="table" w:styleId="Tabela-Siatka">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kstkomentarzaZnak">
    <w:name w:val="Tekst komentarza Znak"/>
    <w:basedOn w:val="Domylnaczcionkaakapitu"/>
    <w:uiPriority w:val="99"/>
    <w:qFormat/>
    <w:rsid w:val="00A85642"/>
    <w:rPr>
      <w:sz w:val="20"/>
      <w:szCs w:val="20"/>
    </w:rPr>
  </w:style>
  <w:style w:type="character" w:customStyle="1" w:styleId="TekstdymkaZnak">
    <w:name w:val="Tekst dymka Znak"/>
    <w:basedOn w:val="Domylnaczcionkaakapitu"/>
    <w:uiPriority w:val="99"/>
    <w:semiHidden/>
    <w:qFormat/>
    <w:rsid w:val="00A85642"/>
    <w:rPr>
      <w:rFonts w:ascii="Segoe UI" w:hAnsi="Segoe UI" w:cs="Segoe UI"/>
      <w:sz w:val="18"/>
      <w:szCs w:val="18"/>
    </w:rPr>
  </w:style>
  <w:style w:type="character" w:customStyle="1" w:styleId="NagwekZnak">
    <w:name w:val="Nagłówek Znak"/>
    <w:basedOn w:val="Domylnaczcionkaakapitu"/>
    <w:uiPriority w:val="99"/>
    <w:qFormat/>
    <w:rsid w:val="00A85642"/>
  </w:style>
  <w:style w:type="character" w:customStyle="1" w:styleId="StopkaZnak">
    <w:name w:val="Stopka Znak"/>
    <w:basedOn w:val="Domylnaczcionkaakapitu"/>
    <w:uiPriority w:val="99"/>
    <w:qFormat/>
    <w:rsid w:val="00A85642"/>
  </w:style>
  <w:style w:type="character" w:customStyle="1" w:styleId="TematkomentarzaZnak">
    <w:name w:val="Temat komentarza Znak"/>
    <w:basedOn w:val="TekstkomentarzaZnak"/>
    <w:uiPriority w:val="99"/>
    <w:semiHidden/>
    <w:qFormat/>
    <w:rsid w:val="00A85642"/>
    <w:rPr>
      <w:b/>
      <w:bCs/>
      <w:sz w:val="20"/>
      <w:szCs w:val="20"/>
    </w:rPr>
  </w:style>
  <w:style w:type="character" w:customStyle="1" w:styleId="TekstprzypisukocowegoZnak">
    <w:name w:val="Tekst przypisu końcowego Znak"/>
    <w:basedOn w:val="Domylnaczcionkaakapitu"/>
    <w:uiPriority w:val="99"/>
    <w:semiHidden/>
    <w:rsid w:val="00A85642"/>
    <w:rPr>
      <w:color w:val="00000A"/>
      <w:szCs w:val="20"/>
    </w:rPr>
  </w:style>
  <w:style w:type="character" w:styleId="Odwoaniedokomentarza">
    <w:name w:val="annotation reference"/>
    <w:basedOn w:val="Domylnaczcionkaakapitu"/>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ynektik.com.pl/wp-content/uploads/2026/06/raport-SYNEKTIK_v3_15_06_FIN.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0E7BC0E4B2AA4882C1D29969F8FD93" ma:contentTypeVersion="16" ma:contentTypeDescription="Create a new document." ma:contentTypeScope="" ma:versionID="5aaeebcfcf6ad213de11c56b1ff70b5e">
  <xsd:schema xmlns:xsd="http://www.w3.org/2001/XMLSchema" xmlns:xs="http://www.w3.org/2001/XMLSchema" xmlns:p="http://schemas.microsoft.com/office/2006/metadata/properties" xmlns:ns3="19d5cebc-8a82-454a-964b-e5f037b79cad" xmlns:ns4="acc7a05e-35ad-430f-855b-0aa4efca2364" targetNamespace="http://schemas.microsoft.com/office/2006/metadata/properties" ma:root="true" ma:fieldsID="96c1ce77bf9e2f646920ace28b3f21f2" ns3:_="" ns4:_="">
    <xsd:import namespace="19d5cebc-8a82-454a-964b-e5f037b79cad"/>
    <xsd:import namespace="acc7a05e-35ad-430f-855b-0aa4efca236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d5cebc-8a82-454a-964b-e5f037b79ca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c7a05e-35ad-430f-855b-0aa4efca236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acc7a05e-35ad-430f-855b-0aa4efca2364" xsi:nil="true"/>
  </documentManagement>
</p:properties>
</file>

<file path=customXml/item3.xml><?xml version="1.0" encoding="utf-8"?>
<go:gDocsCustomXmlDataStorage xmlns:go="http://customooxmlschemas.google.com/" xmlns:r="http://schemas.openxmlformats.org/officeDocument/2006/relationships" uri="GoogleDocsCustomDataVersion2">
  <go:docsCustomData roundtripDataSignature="AMtx7mgQH7Ah7A/t/FlSLugKuzMp4VFbJQ==">CgMxLjA4AHIhMThWN3dYS2p0b3RCWjUxVDhaVFUzMjdsNmtxZU0zZHFM</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B47C6C-74A0-4F4C-89D7-C2A03D921B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d5cebc-8a82-454a-964b-e5f037b79cad"/>
    <ds:schemaRef ds:uri="acc7a05e-35ad-430f-855b-0aa4efca23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FCD10C-9F96-498E-9C5E-B926337C8CEB}">
  <ds:schemaRefs>
    <ds:schemaRef ds:uri="http://schemas.microsoft.com/office/2006/metadata/properties"/>
    <ds:schemaRef ds:uri="http://schemas.microsoft.com/office/infopath/2007/PartnerControls"/>
    <ds:schemaRef ds:uri="acc7a05e-35ad-430f-855b-0aa4efca2364"/>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CF990C3A-84DA-45D3-99E5-ECE9232A91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816</Words>
  <Characters>4901</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Kleczkowski</dc:creator>
  <cp:keywords/>
  <cp:lastModifiedBy>Izabela Mądrzycka</cp:lastModifiedBy>
  <cp:revision>2</cp:revision>
  <dcterms:created xsi:type="dcterms:W3CDTF">2026-06-22T04:59:00Z</dcterms:created>
  <dcterms:modified xsi:type="dcterms:W3CDTF">2026-06-22T04:59:00Z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0x010100BB0E7BC0E4B2AA4882C1D29969F8FD93</vt:lpwstr>
  </property>
</Properties>
</file>