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96DFD" w14:textId="77777777" w:rsidR="009009EF" w:rsidRDefault="009009EF" w:rsidP="00CB0A9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8ADFD7F" w14:textId="19A137AB" w:rsidR="00294264" w:rsidRDefault="008347C3" w:rsidP="00CB0A95">
      <w:pPr>
        <w:jc w:val="both"/>
        <w:rPr>
          <w:rFonts w:ascii="Calibri" w:eastAsia="Calibri" w:hAnsi="Calibri" w:cs="Calibri"/>
          <w:sz w:val="20"/>
          <w:szCs w:val="20"/>
        </w:rPr>
      </w:pPr>
      <w:r w:rsidRPr="4F5AD3F5">
        <w:rPr>
          <w:rFonts w:ascii="Calibri" w:eastAsia="Calibri" w:hAnsi="Calibri" w:cs="Calibri"/>
          <w:sz w:val="20"/>
          <w:szCs w:val="20"/>
        </w:rPr>
        <w:t xml:space="preserve">Informacja prasowa                                                                                                              </w:t>
      </w:r>
      <w:r w:rsidR="00377124">
        <w:rPr>
          <w:rFonts w:ascii="Calibri" w:eastAsia="Calibri" w:hAnsi="Calibri" w:cs="Calibri"/>
          <w:sz w:val="20"/>
          <w:szCs w:val="20"/>
        </w:rPr>
        <w:t>Warszawa</w:t>
      </w:r>
      <w:r w:rsidRPr="4F5AD3F5">
        <w:rPr>
          <w:rFonts w:ascii="Calibri" w:eastAsia="Calibri" w:hAnsi="Calibri" w:cs="Calibri"/>
          <w:sz w:val="20"/>
          <w:szCs w:val="20"/>
        </w:rPr>
        <w:t xml:space="preserve">, </w:t>
      </w:r>
      <w:r w:rsidR="00FF5F00">
        <w:rPr>
          <w:rFonts w:ascii="Calibri" w:eastAsia="Calibri" w:hAnsi="Calibri" w:cs="Calibri"/>
          <w:sz w:val="20"/>
          <w:szCs w:val="20"/>
        </w:rPr>
        <w:t>15</w:t>
      </w:r>
      <w:r w:rsidR="009009EF">
        <w:rPr>
          <w:rFonts w:ascii="Calibri" w:eastAsia="Calibri" w:hAnsi="Calibri" w:cs="Calibri"/>
          <w:sz w:val="20"/>
          <w:szCs w:val="20"/>
        </w:rPr>
        <w:t xml:space="preserve"> </w:t>
      </w:r>
      <w:r w:rsidR="009C7619">
        <w:rPr>
          <w:rFonts w:ascii="Calibri" w:eastAsia="Calibri" w:hAnsi="Calibri" w:cs="Calibri"/>
          <w:sz w:val="20"/>
          <w:szCs w:val="20"/>
        </w:rPr>
        <w:t>czerwca</w:t>
      </w:r>
      <w:r w:rsidRPr="4F5AD3F5">
        <w:rPr>
          <w:rFonts w:ascii="Calibri" w:eastAsia="Calibri" w:hAnsi="Calibri" w:cs="Calibri"/>
          <w:sz w:val="20"/>
          <w:szCs w:val="20"/>
        </w:rPr>
        <w:t xml:space="preserve"> 202</w:t>
      </w:r>
      <w:r w:rsidR="004B2FDC">
        <w:rPr>
          <w:rFonts w:ascii="Calibri" w:eastAsia="Calibri" w:hAnsi="Calibri" w:cs="Calibri"/>
          <w:sz w:val="20"/>
          <w:szCs w:val="20"/>
        </w:rPr>
        <w:t>6</w:t>
      </w:r>
      <w:r w:rsidRPr="4F5AD3F5">
        <w:rPr>
          <w:rFonts w:ascii="Calibri" w:eastAsia="Calibri" w:hAnsi="Calibri" w:cs="Calibri"/>
          <w:sz w:val="20"/>
          <w:szCs w:val="20"/>
        </w:rPr>
        <w:t xml:space="preserve"> r.</w:t>
      </w:r>
    </w:p>
    <w:p w14:paraId="1EB7EFFE" w14:textId="77777777" w:rsidR="00FD6F35" w:rsidRDefault="00FD6F35" w:rsidP="00CB0A95">
      <w:pPr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</w:p>
    <w:p w14:paraId="461DD8CB" w14:textId="221D0059" w:rsidR="004268D0" w:rsidRPr="00AE1FC3" w:rsidRDefault="00377124" w:rsidP="00CB0A95">
      <w:pPr>
        <w:jc w:val="center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  <w:r w:rsidRPr="00377124">
        <w:rPr>
          <w:rFonts w:ascii="Calibri" w:eastAsia="Calibri" w:hAnsi="Calibri" w:cs="Calibri"/>
          <w:b/>
          <w:bCs/>
          <w:sz w:val="24"/>
          <w:szCs w:val="24"/>
          <w:lang w:val="pl-PL"/>
        </w:rPr>
        <w:t>Synektik publikuje raport „</w:t>
      </w:r>
      <w:bookmarkStart w:id="0" w:name="_Hlk232424061"/>
      <w:r w:rsidRPr="00377124">
        <w:rPr>
          <w:rFonts w:ascii="Calibri" w:eastAsia="Calibri" w:hAnsi="Calibri" w:cs="Calibri"/>
          <w:b/>
          <w:bCs/>
          <w:sz w:val="24"/>
          <w:szCs w:val="24"/>
          <w:lang w:val="pl-PL"/>
        </w:rPr>
        <w:t>Przyszłość automatyzacji ochrony zdrowia w Europie Środkowo-Wschodniej 2030</w:t>
      </w:r>
      <w:bookmarkEnd w:id="0"/>
      <w:r w:rsidRPr="00377124">
        <w:rPr>
          <w:rFonts w:ascii="Calibri" w:eastAsia="Calibri" w:hAnsi="Calibri" w:cs="Calibri"/>
          <w:b/>
          <w:bCs/>
          <w:sz w:val="24"/>
          <w:szCs w:val="24"/>
          <w:lang w:val="pl-PL"/>
        </w:rPr>
        <w:t>”</w:t>
      </w:r>
    </w:p>
    <w:p w14:paraId="1A4C4CD8" w14:textId="4CC8BE33" w:rsidR="00076529" w:rsidRPr="00D15FE6" w:rsidRDefault="00076529" w:rsidP="00076529">
      <w:pPr>
        <w:spacing w:before="240" w:after="240"/>
        <w:jc w:val="both"/>
        <w:rPr>
          <w:rFonts w:ascii="Calibri" w:eastAsia="Calibri" w:hAnsi="Calibri" w:cs="Calibri"/>
          <w:b/>
          <w:bCs/>
          <w:lang w:val="pl-PL"/>
        </w:rPr>
      </w:pPr>
      <w:r w:rsidRPr="00076529">
        <w:rPr>
          <w:rFonts w:ascii="Calibri" w:eastAsia="Calibri" w:hAnsi="Calibri" w:cs="Calibri"/>
          <w:b/>
          <w:bCs/>
          <w:lang w:val="pl-PL"/>
        </w:rPr>
        <w:t>Lata 2025–2030 mogą okazać się okresem przyspieszonej transformacji ochrony zdrowia w Europie Środkowo-Wschodniej. Kluczowe strategie wdrażane w 2026 r. zmierzają do domknięcia luki między potencjałem AI a jego obecnym poziomem adopcji. Pomimo pozytywnych trendów sektor medycyny ma co nadrabiać.</w:t>
      </w:r>
      <w:r>
        <w:rPr>
          <w:rFonts w:ascii="Calibri" w:eastAsia="Calibri" w:hAnsi="Calibri" w:cs="Calibri"/>
          <w:b/>
          <w:bCs/>
          <w:lang w:val="pl-PL"/>
        </w:rPr>
        <w:t xml:space="preserve"> </w:t>
      </w:r>
      <w:r w:rsidR="00702EB3" w:rsidRPr="00D15FE6">
        <w:rPr>
          <w:rFonts w:ascii="Calibri" w:eastAsia="Calibri" w:hAnsi="Calibri" w:cs="Calibri"/>
          <w:b/>
          <w:bCs/>
          <w:lang w:val="pl-PL"/>
        </w:rPr>
        <w:t>Szpitale będą przechodzić silną transformację w zakresie informatyzacji, a trendy związane z wykorzystaniem robotyki, AI i automatyzacji coraz wyraźniej docierają również do krajów bałtyckich, gdzie Synektik jest już obecny.</w:t>
      </w:r>
      <w:r w:rsidR="00AA7AEB">
        <w:rPr>
          <w:rFonts w:ascii="Calibri" w:eastAsia="Calibri" w:hAnsi="Calibri" w:cs="Calibri"/>
          <w:b/>
          <w:bCs/>
          <w:lang w:val="pl-PL"/>
        </w:rPr>
        <w:t xml:space="preserve"> </w:t>
      </w:r>
      <w:r w:rsidRPr="00076529">
        <w:rPr>
          <w:rFonts w:ascii="Calibri" w:eastAsia="Calibri" w:hAnsi="Calibri" w:cs="Calibri"/>
          <w:b/>
          <w:bCs/>
          <w:lang w:val="pl-PL"/>
        </w:rPr>
        <w:t>W Polsce w samej chirurgii ogólnej</w:t>
      </w:r>
      <w:r w:rsidR="00D4301E">
        <w:rPr>
          <w:rFonts w:ascii="Calibri" w:eastAsia="Calibri" w:hAnsi="Calibri" w:cs="Calibri"/>
          <w:b/>
          <w:bCs/>
          <w:lang w:val="pl-PL"/>
        </w:rPr>
        <w:t xml:space="preserve">, </w:t>
      </w:r>
      <w:r w:rsidR="00C75C4B">
        <w:rPr>
          <w:rFonts w:ascii="Calibri" w:eastAsia="Calibri" w:hAnsi="Calibri" w:cs="Calibri"/>
          <w:b/>
          <w:bCs/>
          <w:lang w:val="pl-PL"/>
        </w:rPr>
        <w:t xml:space="preserve">która jest największym </w:t>
      </w:r>
      <w:r w:rsidR="00D4301E">
        <w:rPr>
          <w:rFonts w:ascii="Calibri" w:eastAsia="Calibri" w:hAnsi="Calibri" w:cs="Calibri"/>
          <w:b/>
          <w:bCs/>
          <w:lang w:val="pl-PL"/>
        </w:rPr>
        <w:t xml:space="preserve">rynkiem w obszarze wykorzystania chirurgii robotycznej </w:t>
      </w:r>
      <w:r w:rsidR="004D4EFE" w:rsidRPr="00D15FE6">
        <w:rPr>
          <w:rFonts w:ascii="Calibri" w:eastAsia="Calibri" w:hAnsi="Calibri" w:cs="Calibri"/>
          <w:b/>
          <w:bCs/>
          <w:lang w:val="pl-PL"/>
        </w:rPr>
        <w:t>na świecie</w:t>
      </w:r>
      <w:r w:rsidR="004D4EFE">
        <w:rPr>
          <w:rFonts w:ascii="Calibri" w:eastAsia="Calibri" w:hAnsi="Calibri" w:cs="Calibri"/>
          <w:b/>
          <w:bCs/>
          <w:lang w:val="pl-PL"/>
        </w:rPr>
        <w:t xml:space="preserve">, </w:t>
      </w:r>
      <w:r w:rsidR="00D4301E">
        <w:rPr>
          <w:rFonts w:ascii="Calibri" w:eastAsia="Calibri" w:hAnsi="Calibri" w:cs="Calibri"/>
          <w:b/>
          <w:bCs/>
          <w:lang w:val="pl-PL"/>
        </w:rPr>
        <w:t xml:space="preserve">w </w:t>
      </w:r>
      <w:r w:rsidRPr="00076529">
        <w:rPr>
          <w:rFonts w:ascii="Calibri" w:eastAsia="Calibri" w:hAnsi="Calibri" w:cs="Calibri"/>
          <w:b/>
          <w:bCs/>
          <w:lang w:val="pl-PL"/>
        </w:rPr>
        <w:t xml:space="preserve">2025 r. wykonano </w:t>
      </w:r>
      <w:r w:rsidR="004D4EFE" w:rsidRPr="00D15FE6">
        <w:rPr>
          <w:rFonts w:ascii="Calibri" w:eastAsia="Calibri" w:hAnsi="Calibri" w:cs="Calibri"/>
          <w:b/>
          <w:bCs/>
          <w:lang w:val="pl-PL"/>
        </w:rPr>
        <w:t>w Polsce</w:t>
      </w:r>
      <w:r w:rsidR="004D4EFE">
        <w:rPr>
          <w:rFonts w:ascii="Calibri" w:eastAsia="Calibri" w:hAnsi="Calibri" w:cs="Calibri"/>
          <w:b/>
          <w:bCs/>
          <w:lang w:val="pl-PL"/>
        </w:rPr>
        <w:t xml:space="preserve"> </w:t>
      </w:r>
      <w:r w:rsidRPr="00076529">
        <w:rPr>
          <w:rFonts w:ascii="Calibri" w:eastAsia="Calibri" w:hAnsi="Calibri" w:cs="Calibri"/>
          <w:b/>
          <w:bCs/>
          <w:lang w:val="pl-PL"/>
        </w:rPr>
        <w:t>około 4,8 tys. zabiegów z wykorzystaniem robotów chirurgicznych przy blisko 262 tys. procedur rocznie</w:t>
      </w:r>
      <w:r w:rsidR="00D4301E">
        <w:rPr>
          <w:rFonts w:ascii="Calibri" w:eastAsia="Calibri" w:hAnsi="Calibri" w:cs="Calibri"/>
          <w:b/>
          <w:bCs/>
          <w:lang w:val="pl-PL"/>
        </w:rPr>
        <w:t xml:space="preserve">. </w:t>
      </w:r>
      <w:r w:rsidRPr="00076529">
        <w:rPr>
          <w:rFonts w:ascii="Calibri" w:eastAsia="Calibri" w:hAnsi="Calibri" w:cs="Calibri"/>
          <w:b/>
          <w:bCs/>
          <w:lang w:val="pl-PL"/>
        </w:rPr>
        <w:t>Oznacza to, że jedynie około 2% zabiegów</w:t>
      </w:r>
      <w:r w:rsidR="00D4301E">
        <w:rPr>
          <w:rFonts w:ascii="Calibri" w:eastAsia="Calibri" w:hAnsi="Calibri" w:cs="Calibri"/>
          <w:b/>
          <w:bCs/>
          <w:lang w:val="pl-PL"/>
        </w:rPr>
        <w:t xml:space="preserve"> </w:t>
      </w:r>
      <w:r w:rsidRPr="00076529">
        <w:rPr>
          <w:rFonts w:ascii="Calibri" w:eastAsia="Calibri" w:hAnsi="Calibri" w:cs="Calibri"/>
          <w:b/>
          <w:bCs/>
          <w:lang w:val="pl-PL"/>
        </w:rPr>
        <w:t>jest dziś realizowanych w tej technologii. Dla porównania w Stanach Zjednoczonych jest to aż 15 proc.</w:t>
      </w:r>
      <w:r w:rsidRPr="00D15FE6">
        <w:rPr>
          <w:rFonts w:ascii="Calibri" w:eastAsia="Calibri" w:hAnsi="Calibri" w:cs="Calibri"/>
          <w:b/>
          <w:bCs/>
          <w:lang w:val="pl-PL"/>
        </w:rPr>
        <w:t xml:space="preserve"> </w:t>
      </w:r>
      <w:r w:rsidRPr="00076529">
        <w:rPr>
          <w:rFonts w:ascii="Calibri" w:eastAsia="Calibri" w:hAnsi="Calibri" w:cs="Calibri"/>
          <w:b/>
          <w:bCs/>
          <w:lang w:val="pl-PL"/>
        </w:rPr>
        <w:t>Cała Europa Środkowo-Wschodnia pozostaje 5–10 lat za Europą Zachodnią pod względem penetracji robotyki chirurgicznej, wykorzystania AI, czy systemów aptek automatycznych. Zmienić to mogą nowe środki z KPO, presja regulacyjna oraz luka personelu medycznego.</w:t>
      </w:r>
    </w:p>
    <w:p w14:paraId="7C2CBC2D" w14:textId="2526EA7C" w:rsidR="00076529" w:rsidRDefault="00076529" w:rsidP="00076529">
      <w:pPr>
        <w:spacing w:before="240" w:after="240"/>
        <w:jc w:val="both"/>
        <w:rPr>
          <w:rFonts w:ascii="Calibri" w:eastAsia="Calibri" w:hAnsi="Calibri" w:cs="Calibri"/>
          <w:lang w:val="pl-PL"/>
        </w:rPr>
      </w:pPr>
      <w:r w:rsidRPr="00076529">
        <w:rPr>
          <w:rFonts w:ascii="Calibri" w:eastAsia="Calibri" w:hAnsi="Calibri" w:cs="Calibri"/>
          <w:lang w:val="pl-PL"/>
        </w:rPr>
        <w:t>–</w:t>
      </w:r>
      <w:r w:rsidRPr="00076529">
        <w:rPr>
          <w:rFonts w:ascii="Calibri" w:eastAsia="Calibri" w:hAnsi="Calibri" w:cs="Calibri"/>
          <w:i/>
          <w:iCs/>
          <w:lang w:val="pl-PL"/>
        </w:rPr>
        <w:t xml:space="preserve"> W Polsce w 2025 </w:t>
      </w:r>
      <w:r>
        <w:rPr>
          <w:rFonts w:ascii="Calibri" w:eastAsia="Calibri" w:hAnsi="Calibri" w:cs="Calibri"/>
          <w:i/>
          <w:iCs/>
          <w:lang w:val="pl-PL"/>
        </w:rPr>
        <w:t>r.</w:t>
      </w:r>
      <w:r w:rsidRPr="00076529">
        <w:rPr>
          <w:rFonts w:ascii="Calibri" w:eastAsia="Calibri" w:hAnsi="Calibri" w:cs="Calibri"/>
          <w:i/>
          <w:iCs/>
          <w:lang w:val="pl-PL"/>
        </w:rPr>
        <w:t xml:space="preserve"> przeprowadzono około 21,3 tys. zabiegów z wykorzystaniem robotów chirurgicznych. Brzmi to </w:t>
      </w:r>
      <w:r w:rsidR="004E53A0" w:rsidRPr="00076529">
        <w:rPr>
          <w:rFonts w:ascii="Calibri" w:eastAsia="Calibri" w:hAnsi="Calibri" w:cs="Calibri"/>
          <w:i/>
          <w:iCs/>
          <w:lang w:val="pl-PL"/>
        </w:rPr>
        <w:t>imponująco,</w:t>
      </w:r>
      <w:r w:rsidRPr="00076529">
        <w:rPr>
          <w:rFonts w:ascii="Calibri" w:eastAsia="Calibri" w:hAnsi="Calibri" w:cs="Calibri"/>
          <w:i/>
          <w:iCs/>
          <w:lang w:val="pl-PL"/>
        </w:rPr>
        <w:t xml:space="preserve"> dopóki nie zestawimy tej liczby z </w:t>
      </w:r>
      <w:r w:rsidR="00C75C4B">
        <w:rPr>
          <w:rFonts w:ascii="Calibri" w:eastAsia="Calibri" w:hAnsi="Calibri" w:cs="Calibri"/>
          <w:i/>
          <w:iCs/>
          <w:lang w:val="pl-PL"/>
        </w:rPr>
        <w:t>całkowitą ilością zabiegów</w:t>
      </w:r>
      <w:r w:rsidRPr="00076529">
        <w:rPr>
          <w:rFonts w:ascii="Calibri" w:eastAsia="Calibri" w:hAnsi="Calibri" w:cs="Calibri"/>
          <w:i/>
          <w:iCs/>
          <w:lang w:val="pl-PL"/>
        </w:rPr>
        <w:t>, któr</w:t>
      </w:r>
      <w:r w:rsidR="00EB05AF">
        <w:rPr>
          <w:rFonts w:ascii="Calibri" w:eastAsia="Calibri" w:hAnsi="Calibri" w:cs="Calibri"/>
          <w:i/>
          <w:iCs/>
          <w:lang w:val="pl-PL"/>
        </w:rPr>
        <w:t>a</w:t>
      </w:r>
      <w:r w:rsidRPr="00076529">
        <w:rPr>
          <w:rFonts w:ascii="Calibri" w:eastAsia="Calibri" w:hAnsi="Calibri" w:cs="Calibri"/>
          <w:i/>
          <w:iCs/>
          <w:lang w:val="pl-PL"/>
        </w:rPr>
        <w:t xml:space="preserve"> wynosi około 341,5 tys. procedur. Oznacza to, że jedynie około 6% zabiegów, które mogłyby być wykonywane z użyciem robotów, jest dziś realizowanych w tej technologii. W samej chirurgii ogólnej ten wskaźnik spada do zaledwie 2%, przy blisko 262 tys. procedur rocznie wykonano ich robotycznie około 4,8 tys. Mamy naprawdę dużo pracy do nadrobienia, ale kierunek jest jasny </w:t>
      </w:r>
      <w:r w:rsidRPr="00076529">
        <w:rPr>
          <w:rFonts w:ascii="Calibri" w:eastAsia="Calibri" w:hAnsi="Calibri" w:cs="Calibri"/>
          <w:lang w:val="pl-PL"/>
        </w:rPr>
        <w:t xml:space="preserve">– mówi Cezary Kozanecki, prezes Synektik. – </w:t>
      </w:r>
      <w:r w:rsidRPr="00076529">
        <w:rPr>
          <w:rFonts w:ascii="Calibri" w:eastAsia="Calibri" w:hAnsi="Calibri" w:cs="Calibri"/>
          <w:i/>
          <w:iCs/>
          <w:lang w:val="pl-PL"/>
        </w:rPr>
        <w:t xml:space="preserve">A to tylko wierzchołek trendów, które będą przebijać się w przyszłych latach. Naszym raportem chcemy pokazać, że robotyka medycyny to przyszłość, która musi się wydarzyć. A korzyści z tego trendu odczują wszyscy: pacjenci, lekarze, a także polska gospodarka. Dane wskazują, że region CEE ma dużo do nadrobienia, dla porównania </w:t>
      </w:r>
      <w:r w:rsidRPr="00076529">
        <w:rPr>
          <w:rFonts w:ascii="Calibri" w:eastAsia="Calibri" w:hAnsi="Calibri" w:cs="Calibri"/>
          <w:i/>
          <w:iCs/>
        </w:rPr>
        <w:t>Stany Zjednoczone notują poziom 15% udziału zabiegów robotycznych w chirurgii ogólnej. To ważny punkt odniesienia, który pokazuje, dokąd będzie zmierzał rynek</w:t>
      </w:r>
      <w:r w:rsidR="00AA7AEB">
        <w:rPr>
          <w:rFonts w:ascii="Calibri" w:eastAsia="Calibri" w:hAnsi="Calibri" w:cs="Calibri"/>
          <w:i/>
          <w:iCs/>
        </w:rPr>
        <w:t xml:space="preserve">. </w:t>
      </w:r>
      <w:r w:rsidR="00AA7AEB" w:rsidRPr="00D15FE6">
        <w:rPr>
          <w:rFonts w:ascii="Calibri" w:eastAsia="Calibri" w:hAnsi="Calibri" w:cs="Calibri"/>
          <w:i/>
          <w:iCs/>
          <w:lang w:val="pl-PL"/>
        </w:rPr>
        <w:t>Nie można zapomnieć o trenach związanych z informatyzacją szpitali, rozwiązaniach chmurowych oraz popycie na technologie robotyczne w regionie krajów bałtyckich</w:t>
      </w:r>
      <w:r w:rsidRPr="00076529">
        <w:rPr>
          <w:rFonts w:ascii="Calibri" w:eastAsia="Calibri" w:hAnsi="Calibri" w:cs="Calibri"/>
          <w:i/>
          <w:iCs/>
          <w:lang w:val="pl-PL"/>
        </w:rPr>
        <w:t xml:space="preserve"> </w:t>
      </w:r>
      <w:r w:rsidRPr="00D15FE6">
        <w:rPr>
          <w:rFonts w:ascii="Calibri" w:eastAsia="Calibri" w:hAnsi="Calibri" w:cs="Calibri"/>
          <w:i/>
          <w:iCs/>
          <w:lang w:val="pl-PL"/>
        </w:rPr>
        <w:t xml:space="preserve">– </w:t>
      </w:r>
      <w:r w:rsidRPr="00D15FE6">
        <w:rPr>
          <w:rFonts w:ascii="Calibri" w:eastAsia="Calibri" w:hAnsi="Calibri" w:cs="Calibri"/>
          <w:lang w:val="pl-PL"/>
        </w:rPr>
        <w:t>dodaje Cezary Kozanecki.</w:t>
      </w:r>
    </w:p>
    <w:p w14:paraId="21DFA098" w14:textId="5B26757F" w:rsidR="00EE62CE" w:rsidRPr="00EE62CE" w:rsidRDefault="005F79C4" w:rsidP="00EE62CE">
      <w:pPr>
        <w:spacing w:before="240" w:after="240"/>
        <w:jc w:val="both"/>
        <w:rPr>
          <w:rFonts w:ascii="Calibri" w:hAnsi="Calibri" w:cs="Calibri"/>
        </w:rPr>
      </w:pPr>
      <w:r w:rsidRPr="005F79C4">
        <w:rPr>
          <w:rFonts w:ascii="Calibri" w:eastAsia="Calibri" w:hAnsi="Calibri" w:cs="Calibri"/>
          <w:lang w:val="pl-PL"/>
        </w:rPr>
        <w:t>Z pełną wersją raportu można zapoznać się pod linkiem</w:t>
      </w:r>
      <w:r w:rsidR="00EE62CE">
        <w:rPr>
          <w:rFonts w:ascii="Calibri" w:eastAsia="Calibri" w:hAnsi="Calibri" w:cs="Calibri"/>
          <w:lang w:val="pl-PL"/>
        </w:rPr>
        <w:t xml:space="preserve">: </w:t>
      </w:r>
      <w:hyperlink r:id="rId11" w:history="1">
        <w:r w:rsidR="00EE62CE" w:rsidRPr="00E349F1">
          <w:rPr>
            <w:rStyle w:val="Hipercze"/>
            <w:rFonts w:ascii="Calibri" w:hAnsi="Calibri" w:cs="Calibri"/>
          </w:rPr>
          <w:t>https://synektik.com.pl/wp-content/uploads/2026/06/raport-SYNEKTIK_v3_15_06_FIN.pdf</w:t>
        </w:r>
      </w:hyperlink>
      <w:r w:rsidR="00EE62CE" w:rsidRPr="00EE62CE">
        <w:rPr>
          <w:rFonts w:ascii="Calibri" w:hAnsi="Calibri" w:cs="Calibri"/>
        </w:rPr>
        <w:t xml:space="preserve"> </w:t>
      </w:r>
    </w:p>
    <w:p w14:paraId="1A6096BC" w14:textId="6B972E7F" w:rsidR="00377124" w:rsidRPr="00EE62CE" w:rsidRDefault="00377124" w:rsidP="00EE62CE">
      <w:pPr>
        <w:spacing w:before="240" w:after="240"/>
        <w:jc w:val="both"/>
        <w:rPr>
          <w:rFonts w:ascii="Calibri" w:eastAsia="Calibri" w:hAnsi="Calibri" w:cs="Calibri"/>
          <w:b/>
          <w:bCs/>
          <w:lang w:val="pl-PL"/>
        </w:rPr>
      </w:pPr>
      <w:r w:rsidRPr="00EE62CE">
        <w:rPr>
          <w:rFonts w:ascii="Calibri" w:eastAsia="Calibri" w:hAnsi="Calibri" w:cs="Calibri"/>
          <w:b/>
          <w:bCs/>
          <w:lang w:val="pl-PL"/>
        </w:rPr>
        <w:t xml:space="preserve">Globalny rynek rośnie </w:t>
      </w:r>
      <w:r w:rsidR="00D119CC" w:rsidRPr="00EE62CE">
        <w:rPr>
          <w:rFonts w:ascii="Calibri" w:eastAsia="Calibri" w:hAnsi="Calibri" w:cs="Calibri"/>
          <w:b/>
          <w:bCs/>
          <w:lang w:val="pl-PL"/>
        </w:rPr>
        <w:t>–</w:t>
      </w:r>
      <w:r w:rsidRPr="00EE62CE">
        <w:rPr>
          <w:rFonts w:ascii="Calibri" w:eastAsia="Calibri" w:hAnsi="Calibri" w:cs="Calibri"/>
          <w:b/>
          <w:bCs/>
          <w:lang w:val="pl-PL"/>
        </w:rPr>
        <w:t xml:space="preserve"> model biznesowy się zmienia</w:t>
      </w:r>
    </w:p>
    <w:p w14:paraId="06836CD6" w14:textId="284880CF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lang w:val="pl-PL"/>
        </w:rPr>
      </w:pPr>
      <w:r w:rsidRPr="00CB0A95">
        <w:rPr>
          <w:rFonts w:ascii="Calibri" w:eastAsia="Calibri" w:hAnsi="Calibri" w:cs="Calibri"/>
          <w:lang w:val="pl-PL"/>
        </w:rPr>
        <w:t xml:space="preserve">Skalę transformacji pokazują wyniki Intuitive Surgical, globalnego lidera rynku robotyki chirurgicznej. W 2025 r. spółka osiągnęła przychody na poziomie 10 mld USD, z czego 84% stanowiły przychody </w:t>
      </w:r>
      <w:r w:rsidRPr="00CB0A95">
        <w:rPr>
          <w:rFonts w:ascii="Calibri" w:eastAsia="Calibri" w:hAnsi="Calibri" w:cs="Calibri"/>
          <w:lang w:val="pl-PL"/>
        </w:rPr>
        <w:lastRenderedPageBreak/>
        <w:t>powtarzalne. Wykonano ponad 3,2 mln procedur na systemach Intuitive</w:t>
      </w:r>
      <w:r w:rsidR="00CB0A95" w:rsidRPr="00CB0A95">
        <w:rPr>
          <w:rFonts w:ascii="Calibri" w:eastAsia="Calibri" w:hAnsi="Calibri" w:cs="Calibri"/>
          <w:lang w:val="pl-PL"/>
        </w:rPr>
        <w:t xml:space="preserve">, co daje </w:t>
      </w:r>
      <w:r w:rsidRPr="00CB0A95">
        <w:rPr>
          <w:rFonts w:ascii="Calibri" w:eastAsia="Calibri" w:hAnsi="Calibri" w:cs="Calibri"/>
          <w:lang w:val="pl-PL"/>
        </w:rPr>
        <w:t>wzrost o 18% rok do roku. Globalnie działa ponad 12 000 systemów Intuitive w ponad 70 krajach.</w:t>
      </w:r>
    </w:p>
    <w:p w14:paraId="59377F5B" w14:textId="3C52D58E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lang w:val="pl-PL"/>
        </w:rPr>
      </w:pPr>
      <w:r w:rsidRPr="00CB0A95">
        <w:rPr>
          <w:rFonts w:ascii="Calibri" w:eastAsia="Calibri" w:hAnsi="Calibri" w:cs="Calibri"/>
          <w:lang w:val="pl-PL"/>
        </w:rPr>
        <w:t>Rynek przechodzi równocześnie strukturalną zmianę modelu</w:t>
      </w:r>
      <w:r w:rsidR="00CB0A95" w:rsidRPr="00CB0A95">
        <w:rPr>
          <w:rFonts w:ascii="Calibri" w:eastAsia="Calibri" w:hAnsi="Calibri" w:cs="Calibri"/>
          <w:lang w:val="pl-PL"/>
        </w:rPr>
        <w:t>,</w:t>
      </w:r>
      <w:r w:rsidRPr="00CB0A95">
        <w:rPr>
          <w:rFonts w:ascii="Calibri" w:eastAsia="Calibri" w:hAnsi="Calibri" w:cs="Calibri"/>
          <w:lang w:val="pl-PL"/>
        </w:rPr>
        <w:t xml:space="preserve"> od jednorazowej sprzedaży sprzętu ku przychodom serwisowym, proceduralnym i opartym na oprogramowaniu. Synektik odzwierciedla ten trend: udział przychodów powtarzalnych wzrósł z 31% (2022) do 51% (2024 r. fin.) przy CAGR 66% w ostatnich 3 latach.</w:t>
      </w:r>
    </w:p>
    <w:p w14:paraId="411DB960" w14:textId="77777777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b/>
          <w:bCs/>
          <w:lang w:val="pl-PL"/>
        </w:rPr>
      </w:pPr>
      <w:r w:rsidRPr="00CB0A95">
        <w:rPr>
          <w:rFonts w:ascii="Calibri" w:eastAsia="Calibri" w:hAnsi="Calibri" w:cs="Calibri"/>
          <w:b/>
          <w:bCs/>
          <w:lang w:val="pl-PL"/>
        </w:rPr>
        <w:t>Pięć segmentów o największym potencjale wzrostu</w:t>
      </w:r>
    </w:p>
    <w:p w14:paraId="1542894A" w14:textId="6291128F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lang w:val="pl-PL"/>
        </w:rPr>
      </w:pPr>
      <w:r w:rsidRPr="00CB0A95">
        <w:rPr>
          <w:rFonts w:ascii="Calibri" w:eastAsia="Calibri" w:hAnsi="Calibri" w:cs="Calibri"/>
          <w:lang w:val="pl-PL"/>
        </w:rPr>
        <w:t xml:space="preserve">Raport identyfikuje segmenty o najwyższej dynamice wzrostu do 2030 r.: AI diagnostyczne (rynek 1,6 mld USD → 5,44 mld USD, CAGR 22,46%), healthcare cloud (54,69 → 93,41 mld USD, CAGR 11,3%), interoperacyjność danych medycznych napędzana dyrektywą EHDS, robotyka chirurgiczna (CAGR 14,8%) oraz automatyzacja aptek szpitalnych </w:t>
      </w:r>
      <w:r w:rsidR="00D119CC">
        <w:rPr>
          <w:rFonts w:ascii="Calibri" w:eastAsia="Calibri" w:hAnsi="Calibri" w:cs="Calibri"/>
          <w:lang w:val="pl-PL"/>
        </w:rPr>
        <w:t>–</w:t>
      </w:r>
      <w:r w:rsidRPr="00CB0A95">
        <w:rPr>
          <w:rFonts w:ascii="Calibri" w:eastAsia="Calibri" w:hAnsi="Calibri" w:cs="Calibri"/>
          <w:lang w:val="pl-PL"/>
        </w:rPr>
        <w:t xml:space="preserve"> gdzie penetracja w CEE jest 2–3 razy niższa niż w Europie Zachodniej, a w Polsce wdrożono dotychczas mniej niż 10 systemów przy potencjale ok. 350 placówek.</w:t>
      </w:r>
    </w:p>
    <w:p w14:paraId="34999009" w14:textId="77777777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b/>
          <w:bCs/>
          <w:lang w:val="pl-PL"/>
        </w:rPr>
      </w:pPr>
      <w:r w:rsidRPr="00CB0A95">
        <w:rPr>
          <w:rFonts w:ascii="Calibri" w:eastAsia="Calibri" w:hAnsi="Calibri" w:cs="Calibri"/>
          <w:b/>
          <w:bCs/>
          <w:lang w:val="pl-PL"/>
        </w:rPr>
        <w:t>Ekspansja regionalna jako dźwignia wzrostu</w:t>
      </w:r>
    </w:p>
    <w:p w14:paraId="235AC120" w14:textId="7A7F36DC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lang w:val="pl-PL"/>
        </w:rPr>
      </w:pPr>
      <w:r w:rsidRPr="00CB0A95">
        <w:rPr>
          <w:rFonts w:ascii="Calibri" w:eastAsia="Calibri" w:hAnsi="Calibri" w:cs="Calibri"/>
          <w:lang w:val="pl-PL"/>
        </w:rPr>
        <w:t xml:space="preserve">Synektik rozszerza swoją działalność poza dotychczasowy rynek Polski, Czech i Słowacji. Spółka uzyskała status wyłącznego dystrybutora systemów da Vinci na Ukrainie (start operacyjny planowany na 2026 r.) oraz wchodzi na rynki bałtyckie </w:t>
      </w:r>
      <w:r w:rsidR="00D119CC">
        <w:rPr>
          <w:rFonts w:ascii="Calibri" w:eastAsia="Calibri" w:hAnsi="Calibri" w:cs="Calibri"/>
          <w:lang w:val="pl-PL"/>
        </w:rPr>
        <w:t>–</w:t>
      </w:r>
      <w:r w:rsidRPr="00CB0A95">
        <w:rPr>
          <w:rFonts w:ascii="Calibri" w:eastAsia="Calibri" w:hAnsi="Calibri" w:cs="Calibri"/>
          <w:lang w:val="pl-PL"/>
        </w:rPr>
        <w:t xml:space="preserve"> w maju 2026 r. lekarz z USK w Rzeszowie wykonał pierwszy zabieg robotyczny na Łotwie. Łącznie ekspansja obejmuje potencjalny rynek ok. 37 mln dodatkowych mieszkańców.</w:t>
      </w:r>
    </w:p>
    <w:p w14:paraId="6BAFBA39" w14:textId="77777777" w:rsidR="00377124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b/>
          <w:bCs/>
          <w:lang w:val="pl-PL"/>
        </w:rPr>
      </w:pPr>
      <w:r w:rsidRPr="00CB0A95">
        <w:rPr>
          <w:rFonts w:ascii="Calibri" w:eastAsia="Calibri" w:hAnsi="Calibri" w:cs="Calibri"/>
          <w:b/>
          <w:bCs/>
          <w:lang w:val="pl-PL"/>
        </w:rPr>
        <w:t>Regulacje jako katalizator popytu</w:t>
      </w:r>
    </w:p>
    <w:p w14:paraId="3F10AE14" w14:textId="5DEF773B" w:rsidR="009009EF" w:rsidRPr="00CB0A95" w:rsidRDefault="00377124" w:rsidP="00CB0A95">
      <w:pPr>
        <w:spacing w:after="160" w:line="259" w:lineRule="auto"/>
        <w:jc w:val="both"/>
        <w:rPr>
          <w:rFonts w:ascii="Calibri" w:eastAsia="Calibri" w:hAnsi="Calibri" w:cs="Calibri"/>
          <w:lang w:val="pl-PL"/>
        </w:rPr>
      </w:pPr>
      <w:r w:rsidRPr="00CB0A95">
        <w:rPr>
          <w:rFonts w:ascii="Calibri" w:eastAsia="Calibri" w:hAnsi="Calibri" w:cs="Calibri"/>
          <w:lang w:val="pl-PL"/>
        </w:rPr>
        <w:t xml:space="preserve">Wdrażane regulacje unijne </w:t>
      </w:r>
      <w:r w:rsidR="00D119CC">
        <w:rPr>
          <w:rFonts w:ascii="Calibri" w:eastAsia="Calibri" w:hAnsi="Calibri" w:cs="Calibri"/>
          <w:lang w:val="pl-PL"/>
        </w:rPr>
        <w:t>–</w:t>
      </w:r>
      <w:r w:rsidRPr="00CB0A95">
        <w:rPr>
          <w:rFonts w:ascii="Calibri" w:eastAsia="Calibri" w:hAnsi="Calibri" w:cs="Calibri"/>
          <w:lang w:val="pl-PL"/>
        </w:rPr>
        <w:t xml:space="preserve"> EHDS (obowiązek certyfikacji systemów EHR i interoperacyjności do 2029 r.), EU AI Act (dual compliance MDR i AI Act dla narzędzi AI w diagnostyce) oraz dyrektywa NIS2 (szpitale jako infrastruktura krytyczna) </w:t>
      </w:r>
      <w:r w:rsidR="00D119CC">
        <w:rPr>
          <w:rFonts w:ascii="Calibri" w:eastAsia="Calibri" w:hAnsi="Calibri" w:cs="Calibri"/>
          <w:lang w:val="pl-PL"/>
        </w:rPr>
        <w:t>–</w:t>
      </w:r>
      <w:r w:rsidRPr="00CB0A95">
        <w:rPr>
          <w:rFonts w:ascii="Calibri" w:eastAsia="Calibri" w:hAnsi="Calibri" w:cs="Calibri"/>
          <w:lang w:val="pl-PL"/>
        </w:rPr>
        <w:t xml:space="preserve"> tworzą regulatoryjnie wymuszony popyt na modernizację technologiczną. Uzupełnieniem są środki z KPO: ok. 4,4 mld PLN przeznaczonych na cyfryzację ochrony zdrowia w Polsce w latach 2025–2027.</w:t>
      </w:r>
    </w:p>
    <w:p w14:paraId="06563B62" w14:textId="77777777" w:rsidR="00925ECA" w:rsidRPr="00CB0A95" w:rsidRDefault="00925ECA" w:rsidP="00CB0A95">
      <w:pPr>
        <w:jc w:val="both"/>
        <w:rPr>
          <w:rFonts w:ascii="Calibri" w:eastAsia="Calibri" w:hAnsi="Calibri" w:cs="Calibri"/>
          <w:lang w:val="pl-PL"/>
        </w:rPr>
      </w:pPr>
    </w:p>
    <w:sectPr w:rsidR="00925ECA" w:rsidRPr="00CB0A95">
      <w:headerReference w:type="default" r:id="rId12"/>
      <w:footerReference w:type="default" r:id="rId13"/>
      <w:pgSz w:w="11906" w:h="16838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BC2A2" w14:textId="77777777" w:rsidR="00EC35A9" w:rsidRDefault="00EC35A9">
      <w:pPr>
        <w:spacing w:line="240" w:lineRule="auto"/>
      </w:pPr>
      <w:r>
        <w:separator/>
      </w:r>
    </w:p>
  </w:endnote>
  <w:endnote w:type="continuationSeparator" w:id="0">
    <w:p w14:paraId="60375875" w14:textId="77777777" w:rsidR="00EC35A9" w:rsidRDefault="00EC35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827350" w14:paraId="7B25A57B" w14:textId="77777777" w:rsidTr="04293A1F">
      <w:trPr>
        <w:trHeight w:val="300"/>
      </w:trPr>
      <w:tc>
        <w:tcPr>
          <w:tcW w:w="3005" w:type="dxa"/>
        </w:tcPr>
        <w:p w14:paraId="51220353" w14:textId="3C14B62C" w:rsidR="00827350" w:rsidRDefault="00827350" w:rsidP="04293A1F">
          <w:pPr>
            <w:ind w:left="-115"/>
          </w:pPr>
        </w:p>
      </w:tc>
      <w:tc>
        <w:tcPr>
          <w:tcW w:w="3005" w:type="dxa"/>
        </w:tcPr>
        <w:p w14:paraId="223EC56F" w14:textId="074E7C19" w:rsidR="00827350" w:rsidRDefault="00827350" w:rsidP="04293A1F">
          <w:pPr>
            <w:jc w:val="center"/>
          </w:pPr>
        </w:p>
      </w:tc>
      <w:tc>
        <w:tcPr>
          <w:tcW w:w="3005" w:type="dxa"/>
        </w:tcPr>
        <w:p w14:paraId="337AD682" w14:textId="1EFC7EB3" w:rsidR="00827350" w:rsidRDefault="00827350" w:rsidP="04293A1F">
          <w:pPr>
            <w:ind w:right="-115"/>
            <w:jc w:val="right"/>
          </w:pPr>
        </w:p>
      </w:tc>
    </w:tr>
  </w:tbl>
  <w:p w14:paraId="7BBDA1F0" w14:textId="1F7F8FF3" w:rsidR="00827350" w:rsidRDefault="00827350" w:rsidP="04293A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C8D2" w14:textId="77777777" w:rsidR="00EC35A9" w:rsidRDefault="00EC35A9">
      <w:pPr>
        <w:spacing w:line="240" w:lineRule="auto"/>
      </w:pPr>
      <w:r>
        <w:separator/>
      </w:r>
    </w:p>
  </w:footnote>
  <w:footnote w:type="continuationSeparator" w:id="0">
    <w:p w14:paraId="15B4038F" w14:textId="77777777" w:rsidR="00EC35A9" w:rsidRDefault="00EC35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85B9" w14:textId="7BB9E9A9" w:rsidR="00294264" w:rsidRDefault="009009EF" w:rsidP="366CE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32"/>
      </w:tabs>
      <w:spacing w:line="240" w:lineRule="aut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EEFF2A" wp14:editId="654F2C0E">
          <wp:simplePos x="0" y="0"/>
          <wp:positionH relativeFrom="margin">
            <wp:posOffset>4485640</wp:posOffset>
          </wp:positionH>
          <wp:positionV relativeFrom="paragraph">
            <wp:posOffset>114300</wp:posOffset>
          </wp:positionV>
          <wp:extent cx="1270635" cy="429260"/>
          <wp:effectExtent l="0" t="0" r="5715" b="8890"/>
          <wp:wrapNone/>
          <wp:docPr id="1008841005" name="image2.png">
            <a:extLst xmlns:a="http://schemas.openxmlformats.org/drawingml/2006/main">
              <a:ext uri="{FF2B5EF4-FFF2-40B4-BE49-F238E27FC236}">
                <a16:creationId xmlns:a16="http://schemas.microsoft.com/office/drawing/2014/main" id="{93FA8EE8-F1B3-4DED-8089-602837464921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35" cy="429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366CE556">
      <w:t xml:space="preserve">                                                                        </w:t>
    </w:r>
    <w:r w:rsidR="008B3EC8">
      <w:t xml:space="preserve">                     </w:t>
    </w:r>
    <w:r w:rsidR="366CE556">
      <w:t xml:space="preserve">            </w:t>
    </w:r>
  </w:p>
  <w:p w14:paraId="5A0CF9D9" w14:textId="2645FC1F" w:rsidR="00294264" w:rsidRDefault="009009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3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161C21" wp14:editId="47767BF1">
          <wp:simplePos x="0" y="0"/>
          <wp:positionH relativeFrom="margin">
            <wp:posOffset>193583</wp:posOffset>
          </wp:positionH>
          <wp:positionV relativeFrom="paragraph">
            <wp:posOffset>6985</wp:posOffset>
          </wp:positionV>
          <wp:extent cx="1123792" cy="327660"/>
          <wp:effectExtent l="0" t="0" r="635" b="0"/>
          <wp:wrapNone/>
          <wp:docPr id="236981271" name="Obraz 1">
            <a:extLst xmlns:a="http://schemas.openxmlformats.org/drawingml/2006/main">
              <a:ext uri="{FF2B5EF4-FFF2-40B4-BE49-F238E27FC236}">
                <a16:creationId xmlns:a16="http://schemas.microsoft.com/office/drawing/2014/main" id="{2256FD97-0D6B-4EAF-9780-80B6866139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98127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792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7C3">
      <w:tab/>
    </w:r>
  </w:p>
  <w:p w14:paraId="3ED9EC8C" w14:textId="77777777" w:rsidR="00FF0924" w:rsidRDefault="00FF09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</w:p>
  <w:p w14:paraId="1FC8ED9B" w14:textId="02A80898" w:rsidR="00827350" w:rsidRDefault="00827350" w:rsidP="366CE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32"/>
      </w:tabs>
      <w:spacing w:line="240" w:lineRule="auto"/>
    </w:pPr>
    <w:r>
      <w:t xml:space="preserve">                                                                                                         </w:t>
    </w:r>
  </w:p>
  <w:p w14:paraId="7A502820" w14:textId="332DE49C" w:rsidR="00827350" w:rsidRDefault="008273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32"/>
      </w:tabs>
      <w:spacing w:line="240" w:lineRule="auto"/>
    </w:pPr>
    <w:r>
      <w:tab/>
    </w:r>
  </w:p>
  <w:p w14:paraId="70204524" w14:textId="77777777" w:rsidR="00827350" w:rsidRDefault="008273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96365"/>
    <w:multiLevelType w:val="hybridMultilevel"/>
    <w:tmpl w:val="28D866BE"/>
    <w:lvl w:ilvl="0" w:tplc="25688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C2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65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AA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4D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C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5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49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2A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264"/>
    <w:rsid w:val="00011053"/>
    <w:rsid w:val="0001182F"/>
    <w:rsid w:val="00013419"/>
    <w:rsid w:val="000211EF"/>
    <w:rsid w:val="000233F7"/>
    <w:rsid w:val="00026043"/>
    <w:rsid w:val="0003725D"/>
    <w:rsid w:val="00040DCF"/>
    <w:rsid w:val="00042908"/>
    <w:rsid w:val="00043F9B"/>
    <w:rsid w:val="00046719"/>
    <w:rsid w:val="0005131D"/>
    <w:rsid w:val="0005719D"/>
    <w:rsid w:val="000656C2"/>
    <w:rsid w:val="00076529"/>
    <w:rsid w:val="00077C41"/>
    <w:rsid w:val="00082F3A"/>
    <w:rsid w:val="0009081D"/>
    <w:rsid w:val="000A0B77"/>
    <w:rsid w:val="000C1965"/>
    <w:rsid w:val="000C2865"/>
    <w:rsid w:val="000D78BF"/>
    <w:rsid w:val="000D7E73"/>
    <w:rsid w:val="00100F49"/>
    <w:rsid w:val="0010111B"/>
    <w:rsid w:val="00103B0B"/>
    <w:rsid w:val="001108C7"/>
    <w:rsid w:val="0012063E"/>
    <w:rsid w:val="00122CBB"/>
    <w:rsid w:val="00122E3B"/>
    <w:rsid w:val="00123C58"/>
    <w:rsid w:val="001261DD"/>
    <w:rsid w:val="00146666"/>
    <w:rsid w:val="001504D5"/>
    <w:rsid w:val="00157E33"/>
    <w:rsid w:val="00166A4E"/>
    <w:rsid w:val="00180DCA"/>
    <w:rsid w:val="00184DD3"/>
    <w:rsid w:val="0019608F"/>
    <w:rsid w:val="00197DCE"/>
    <w:rsid w:val="001A7B52"/>
    <w:rsid w:val="001B3020"/>
    <w:rsid w:val="001B7B06"/>
    <w:rsid w:val="001B7CC2"/>
    <w:rsid w:val="001C1A4E"/>
    <w:rsid w:val="001C2CE7"/>
    <w:rsid w:val="001C59AF"/>
    <w:rsid w:val="001E38D9"/>
    <w:rsid w:val="001E4D36"/>
    <w:rsid w:val="001E699F"/>
    <w:rsid w:val="001F3EC4"/>
    <w:rsid w:val="001F40D7"/>
    <w:rsid w:val="00205F24"/>
    <w:rsid w:val="00212DC2"/>
    <w:rsid w:val="00220474"/>
    <w:rsid w:val="0022490F"/>
    <w:rsid w:val="00224F83"/>
    <w:rsid w:val="00231081"/>
    <w:rsid w:val="002350DF"/>
    <w:rsid w:val="0023611C"/>
    <w:rsid w:val="00237E05"/>
    <w:rsid w:val="00240697"/>
    <w:rsid w:val="002432CF"/>
    <w:rsid w:val="00244A19"/>
    <w:rsid w:val="00253147"/>
    <w:rsid w:val="00257125"/>
    <w:rsid w:val="00257234"/>
    <w:rsid w:val="00260DD0"/>
    <w:rsid w:val="002807DB"/>
    <w:rsid w:val="00294264"/>
    <w:rsid w:val="002A0F95"/>
    <w:rsid w:val="002A560A"/>
    <w:rsid w:val="002B518B"/>
    <w:rsid w:val="002B6F6B"/>
    <w:rsid w:val="002C00ED"/>
    <w:rsid w:val="002C5383"/>
    <w:rsid w:val="002C5800"/>
    <w:rsid w:val="002D0E8A"/>
    <w:rsid w:val="002E1436"/>
    <w:rsid w:val="002E4A9F"/>
    <w:rsid w:val="002E6D8C"/>
    <w:rsid w:val="002F5439"/>
    <w:rsid w:val="003002BD"/>
    <w:rsid w:val="0030162B"/>
    <w:rsid w:val="00303FC1"/>
    <w:rsid w:val="003050B4"/>
    <w:rsid w:val="00313BF9"/>
    <w:rsid w:val="003249B8"/>
    <w:rsid w:val="0034117A"/>
    <w:rsid w:val="00353406"/>
    <w:rsid w:val="00353EDF"/>
    <w:rsid w:val="003579CA"/>
    <w:rsid w:val="003620E3"/>
    <w:rsid w:val="00373F9D"/>
    <w:rsid w:val="003744C4"/>
    <w:rsid w:val="00377124"/>
    <w:rsid w:val="0038432F"/>
    <w:rsid w:val="00391CA5"/>
    <w:rsid w:val="003A2C97"/>
    <w:rsid w:val="003A2FAE"/>
    <w:rsid w:val="003A347E"/>
    <w:rsid w:val="003B45EE"/>
    <w:rsid w:val="003D08B6"/>
    <w:rsid w:val="003D3B3D"/>
    <w:rsid w:val="003D511C"/>
    <w:rsid w:val="003E4FDC"/>
    <w:rsid w:val="003E69D2"/>
    <w:rsid w:val="00400C03"/>
    <w:rsid w:val="00400D28"/>
    <w:rsid w:val="004022B5"/>
    <w:rsid w:val="00402DF8"/>
    <w:rsid w:val="004045D2"/>
    <w:rsid w:val="00424142"/>
    <w:rsid w:val="004268D0"/>
    <w:rsid w:val="00434590"/>
    <w:rsid w:val="0043587F"/>
    <w:rsid w:val="0043736C"/>
    <w:rsid w:val="00441197"/>
    <w:rsid w:val="004437DB"/>
    <w:rsid w:val="004466E2"/>
    <w:rsid w:val="004568CA"/>
    <w:rsid w:val="004655C1"/>
    <w:rsid w:val="00467426"/>
    <w:rsid w:val="004707F5"/>
    <w:rsid w:val="00472A6F"/>
    <w:rsid w:val="00475BCA"/>
    <w:rsid w:val="00477877"/>
    <w:rsid w:val="00487679"/>
    <w:rsid w:val="004A00ED"/>
    <w:rsid w:val="004B2C5D"/>
    <w:rsid w:val="004B2FDC"/>
    <w:rsid w:val="004B7180"/>
    <w:rsid w:val="004C08B4"/>
    <w:rsid w:val="004C658D"/>
    <w:rsid w:val="004C6BB5"/>
    <w:rsid w:val="004C6D24"/>
    <w:rsid w:val="004D4EFE"/>
    <w:rsid w:val="004D68B3"/>
    <w:rsid w:val="004E165E"/>
    <w:rsid w:val="004E2CC8"/>
    <w:rsid w:val="004E3916"/>
    <w:rsid w:val="004E3AD8"/>
    <w:rsid w:val="004E43A8"/>
    <w:rsid w:val="004E4BAE"/>
    <w:rsid w:val="004E53A0"/>
    <w:rsid w:val="004F22E4"/>
    <w:rsid w:val="004F73DA"/>
    <w:rsid w:val="005001D9"/>
    <w:rsid w:val="005021BB"/>
    <w:rsid w:val="00507624"/>
    <w:rsid w:val="00507D77"/>
    <w:rsid w:val="005131BF"/>
    <w:rsid w:val="0052067E"/>
    <w:rsid w:val="0052222A"/>
    <w:rsid w:val="005258DB"/>
    <w:rsid w:val="005375E0"/>
    <w:rsid w:val="005530FC"/>
    <w:rsid w:val="0055667B"/>
    <w:rsid w:val="005610FE"/>
    <w:rsid w:val="00562CFD"/>
    <w:rsid w:val="005764DD"/>
    <w:rsid w:val="005834EF"/>
    <w:rsid w:val="005962D5"/>
    <w:rsid w:val="0059755B"/>
    <w:rsid w:val="005A35AF"/>
    <w:rsid w:val="005B0A07"/>
    <w:rsid w:val="005B37E9"/>
    <w:rsid w:val="005C0DF5"/>
    <w:rsid w:val="005C2B67"/>
    <w:rsid w:val="005C38A2"/>
    <w:rsid w:val="005C5C47"/>
    <w:rsid w:val="005C6C48"/>
    <w:rsid w:val="005C6FF8"/>
    <w:rsid w:val="005D1E6E"/>
    <w:rsid w:val="005E4A64"/>
    <w:rsid w:val="005E4BD0"/>
    <w:rsid w:val="005E7233"/>
    <w:rsid w:val="005E7511"/>
    <w:rsid w:val="005F0C8E"/>
    <w:rsid w:val="005F79C4"/>
    <w:rsid w:val="00601922"/>
    <w:rsid w:val="00613225"/>
    <w:rsid w:val="00615595"/>
    <w:rsid w:val="00616F6F"/>
    <w:rsid w:val="00620AD8"/>
    <w:rsid w:val="006237BA"/>
    <w:rsid w:val="00634D48"/>
    <w:rsid w:val="00640502"/>
    <w:rsid w:val="00641C4F"/>
    <w:rsid w:val="006423FD"/>
    <w:rsid w:val="00652B87"/>
    <w:rsid w:val="006552E2"/>
    <w:rsid w:val="006600AB"/>
    <w:rsid w:val="00660EF4"/>
    <w:rsid w:val="00664A78"/>
    <w:rsid w:val="00667DCB"/>
    <w:rsid w:val="00696478"/>
    <w:rsid w:val="006A035E"/>
    <w:rsid w:val="006A124D"/>
    <w:rsid w:val="006C2985"/>
    <w:rsid w:val="006C5332"/>
    <w:rsid w:val="006C75CF"/>
    <w:rsid w:val="006D6215"/>
    <w:rsid w:val="006D644E"/>
    <w:rsid w:val="006E0346"/>
    <w:rsid w:val="006E3706"/>
    <w:rsid w:val="00702EB3"/>
    <w:rsid w:val="00706924"/>
    <w:rsid w:val="00706ABF"/>
    <w:rsid w:val="00717B8D"/>
    <w:rsid w:val="00724826"/>
    <w:rsid w:val="00724B3B"/>
    <w:rsid w:val="00731954"/>
    <w:rsid w:val="007326DB"/>
    <w:rsid w:val="007356DE"/>
    <w:rsid w:val="007370DB"/>
    <w:rsid w:val="00750A22"/>
    <w:rsid w:val="00750F91"/>
    <w:rsid w:val="0075261C"/>
    <w:rsid w:val="00761E8C"/>
    <w:rsid w:val="007666BE"/>
    <w:rsid w:val="00774912"/>
    <w:rsid w:val="00790A1E"/>
    <w:rsid w:val="00791499"/>
    <w:rsid w:val="00793106"/>
    <w:rsid w:val="0079564C"/>
    <w:rsid w:val="007B225C"/>
    <w:rsid w:val="007C2E90"/>
    <w:rsid w:val="007C5116"/>
    <w:rsid w:val="007C6E02"/>
    <w:rsid w:val="007D1B0E"/>
    <w:rsid w:val="007D559D"/>
    <w:rsid w:val="007E2731"/>
    <w:rsid w:val="007F2A31"/>
    <w:rsid w:val="007F638B"/>
    <w:rsid w:val="008008D8"/>
    <w:rsid w:val="00801DE5"/>
    <w:rsid w:val="00803A1C"/>
    <w:rsid w:val="00812217"/>
    <w:rsid w:val="00827350"/>
    <w:rsid w:val="008304D9"/>
    <w:rsid w:val="008347C3"/>
    <w:rsid w:val="00836178"/>
    <w:rsid w:val="0085235C"/>
    <w:rsid w:val="00860603"/>
    <w:rsid w:val="00866A62"/>
    <w:rsid w:val="00875F91"/>
    <w:rsid w:val="0088101D"/>
    <w:rsid w:val="00893BF4"/>
    <w:rsid w:val="008960BF"/>
    <w:rsid w:val="008A24AD"/>
    <w:rsid w:val="008A319E"/>
    <w:rsid w:val="008B1D14"/>
    <w:rsid w:val="008B3EC8"/>
    <w:rsid w:val="008C7470"/>
    <w:rsid w:val="008D088E"/>
    <w:rsid w:val="008D1528"/>
    <w:rsid w:val="008F2BF0"/>
    <w:rsid w:val="008F5E21"/>
    <w:rsid w:val="008F798C"/>
    <w:rsid w:val="0090017C"/>
    <w:rsid w:val="009009EF"/>
    <w:rsid w:val="00901A29"/>
    <w:rsid w:val="00910E6C"/>
    <w:rsid w:val="0091496F"/>
    <w:rsid w:val="00923DA0"/>
    <w:rsid w:val="00925ECA"/>
    <w:rsid w:val="009315AA"/>
    <w:rsid w:val="00933DEF"/>
    <w:rsid w:val="00935249"/>
    <w:rsid w:val="00941C1A"/>
    <w:rsid w:val="009525E5"/>
    <w:rsid w:val="00960700"/>
    <w:rsid w:val="009624A9"/>
    <w:rsid w:val="009669FF"/>
    <w:rsid w:val="0096702C"/>
    <w:rsid w:val="00973AD8"/>
    <w:rsid w:val="00974C90"/>
    <w:rsid w:val="00987D44"/>
    <w:rsid w:val="009A254B"/>
    <w:rsid w:val="009A588C"/>
    <w:rsid w:val="009C00E3"/>
    <w:rsid w:val="009C18FE"/>
    <w:rsid w:val="009C462F"/>
    <w:rsid w:val="009C7619"/>
    <w:rsid w:val="009C7FB0"/>
    <w:rsid w:val="009D3F92"/>
    <w:rsid w:val="009E1FC3"/>
    <w:rsid w:val="009E3F9A"/>
    <w:rsid w:val="009E55F6"/>
    <w:rsid w:val="009F10DF"/>
    <w:rsid w:val="009F37A9"/>
    <w:rsid w:val="009F386C"/>
    <w:rsid w:val="009F390A"/>
    <w:rsid w:val="009F799F"/>
    <w:rsid w:val="00A010D5"/>
    <w:rsid w:val="00A05002"/>
    <w:rsid w:val="00A0664D"/>
    <w:rsid w:val="00A24CB4"/>
    <w:rsid w:val="00A27AD4"/>
    <w:rsid w:val="00A27E28"/>
    <w:rsid w:val="00A51CFC"/>
    <w:rsid w:val="00A54310"/>
    <w:rsid w:val="00A62664"/>
    <w:rsid w:val="00A71B2C"/>
    <w:rsid w:val="00A71C5D"/>
    <w:rsid w:val="00A728F4"/>
    <w:rsid w:val="00A74094"/>
    <w:rsid w:val="00A74A82"/>
    <w:rsid w:val="00A77689"/>
    <w:rsid w:val="00A8455C"/>
    <w:rsid w:val="00A85642"/>
    <w:rsid w:val="00A91E83"/>
    <w:rsid w:val="00A967F0"/>
    <w:rsid w:val="00AA3D49"/>
    <w:rsid w:val="00AA7AEB"/>
    <w:rsid w:val="00AB0055"/>
    <w:rsid w:val="00AB6DD0"/>
    <w:rsid w:val="00AB7057"/>
    <w:rsid w:val="00AD5CAB"/>
    <w:rsid w:val="00AD639E"/>
    <w:rsid w:val="00AD6E23"/>
    <w:rsid w:val="00AE1FC3"/>
    <w:rsid w:val="00AE2DC9"/>
    <w:rsid w:val="00AE3037"/>
    <w:rsid w:val="00AE364A"/>
    <w:rsid w:val="00AF585E"/>
    <w:rsid w:val="00B029D2"/>
    <w:rsid w:val="00B07264"/>
    <w:rsid w:val="00B22FD2"/>
    <w:rsid w:val="00B25E88"/>
    <w:rsid w:val="00B261B7"/>
    <w:rsid w:val="00B536B5"/>
    <w:rsid w:val="00B87606"/>
    <w:rsid w:val="00B87D03"/>
    <w:rsid w:val="00B90538"/>
    <w:rsid w:val="00B95607"/>
    <w:rsid w:val="00B960D4"/>
    <w:rsid w:val="00BA3136"/>
    <w:rsid w:val="00BA43F5"/>
    <w:rsid w:val="00BC1438"/>
    <w:rsid w:val="00BC38A2"/>
    <w:rsid w:val="00BC4256"/>
    <w:rsid w:val="00BC47D5"/>
    <w:rsid w:val="00BD30E0"/>
    <w:rsid w:val="00BD3416"/>
    <w:rsid w:val="00BE4B7E"/>
    <w:rsid w:val="00BE5B68"/>
    <w:rsid w:val="00BE6AED"/>
    <w:rsid w:val="00BE6C47"/>
    <w:rsid w:val="00BF072F"/>
    <w:rsid w:val="00BF56A1"/>
    <w:rsid w:val="00BF7D69"/>
    <w:rsid w:val="00C14E90"/>
    <w:rsid w:val="00C15CBC"/>
    <w:rsid w:val="00C15F0E"/>
    <w:rsid w:val="00C24696"/>
    <w:rsid w:val="00C36E02"/>
    <w:rsid w:val="00C41A83"/>
    <w:rsid w:val="00C4517F"/>
    <w:rsid w:val="00C6346B"/>
    <w:rsid w:val="00C75C4B"/>
    <w:rsid w:val="00C819F0"/>
    <w:rsid w:val="00C85774"/>
    <w:rsid w:val="00CB0A95"/>
    <w:rsid w:val="00CB0E35"/>
    <w:rsid w:val="00CB1128"/>
    <w:rsid w:val="00CC02AE"/>
    <w:rsid w:val="00CC1069"/>
    <w:rsid w:val="00CC1765"/>
    <w:rsid w:val="00CD2949"/>
    <w:rsid w:val="00CD5D8C"/>
    <w:rsid w:val="00CE166C"/>
    <w:rsid w:val="00CE7519"/>
    <w:rsid w:val="00CE7C48"/>
    <w:rsid w:val="00CF77E9"/>
    <w:rsid w:val="00D00279"/>
    <w:rsid w:val="00D00CE7"/>
    <w:rsid w:val="00D040C6"/>
    <w:rsid w:val="00D047CF"/>
    <w:rsid w:val="00D119CC"/>
    <w:rsid w:val="00D15FE6"/>
    <w:rsid w:val="00D16B92"/>
    <w:rsid w:val="00D20844"/>
    <w:rsid w:val="00D24F96"/>
    <w:rsid w:val="00D3124D"/>
    <w:rsid w:val="00D4301E"/>
    <w:rsid w:val="00D436FE"/>
    <w:rsid w:val="00D570EA"/>
    <w:rsid w:val="00D60498"/>
    <w:rsid w:val="00D6719A"/>
    <w:rsid w:val="00D77303"/>
    <w:rsid w:val="00D82B72"/>
    <w:rsid w:val="00D83749"/>
    <w:rsid w:val="00D91C16"/>
    <w:rsid w:val="00D92C8F"/>
    <w:rsid w:val="00D935DA"/>
    <w:rsid w:val="00DA2F93"/>
    <w:rsid w:val="00DA401E"/>
    <w:rsid w:val="00DC1007"/>
    <w:rsid w:val="00DC25AF"/>
    <w:rsid w:val="00DD194C"/>
    <w:rsid w:val="00DD6649"/>
    <w:rsid w:val="00DE4996"/>
    <w:rsid w:val="00DF2C30"/>
    <w:rsid w:val="00E15E89"/>
    <w:rsid w:val="00E1779D"/>
    <w:rsid w:val="00E25408"/>
    <w:rsid w:val="00E41748"/>
    <w:rsid w:val="00E437E8"/>
    <w:rsid w:val="00E466F1"/>
    <w:rsid w:val="00E629DE"/>
    <w:rsid w:val="00E70D53"/>
    <w:rsid w:val="00E72D5A"/>
    <w:rsid w:val="00E73275"/>
    <w:rsid w:val="00E927B9"/>
    <w:rsid w:val="00E97CD1"/>
    <w:rsid w:val="00E97F1D"/>
    <w:rsid w:val="00EB05AF"/>
    <w:rsid w:val="00EB50FF"/>
    <w:rsid w:val="00EB7E72"/>
    <w:rsid w:val="00EC35A9"/>
    <w:rsid w:val="00EE28E7"/>
    <w:rsid w:val="00EE2B18"/>
    <w:rsid w:val="00EE62CE"/>
    <w:rsid w:val="00EE74EA"/>
    <w:rsid w:val="00EF0A2E"/>
    <w:rsid w:val="00EF4BE3"/>
    <w:rsid w:val="00F01366"/>
    <w:rsid w:val="00F033D8"/>
    <w:rsid w:val="00F03B33"/>
    <w:rsid w:val="00F03E5F"/>
    <w:rsid w:val="00F13B9C"/>
    <w:rsid w:val="00F164DE"/>
    <w:rsid w:val="00F2495B"/>
    <w:rsid w:val="00F254C3"/>
    <w:rsid w:val="00F42CDB"/>
    <w:rsid w:val="00F537CF"/>
    <w:rsid w:val="00F53D4E"/>
    <w:rsid w:val="00F70045"/>
    <w:rsid w:val="00F73D0A"/>
    <w:rsid w:val="00F74A54"/>
    <w:rsid w:val="00F74E0B"/>
    <w:rsid w:val="00F850DD"/>
    <w:rsid w:val="00F951EC"/>
    <w:rsid w:val="00F97D9F"/>
    <w:rsid w:val="00FC3E72"/>
    <w:rsid w:val="00FD2790"/>
    <w:rsid w:val="00FD6BB7"/>
    <w:rsid w:val="00FD6F35"/>
    <w:rsid w:val="00FF0924"/>
    <w:rsid w:val="00FF0C1A"/>
    <w:rsid w:val="00FF5F00"/>
    <w:rsid w:val="00FF67E1"/>
    <w:rsid w:val="03AC36B6"/>
    <w:rsid w:val="03C46BB6"/>
    <w:rsid w:val="03CEBEDB"/>
    <w:rsid w:val="04293A1F"/>
    <w:rsid w:val="043F9F19"/>
    <w:rsid w:val="0511B470"/>
    <w:rsid w:val="05966B31"/>
    <w:rsid w:val="08BD28B2"/>
    <w:rsid w:val="090908F7"/>
    <w:rsid w:val="09114EE3"/>
    <w:rsid w:val="09599057"/>
    <w:rsid w:val="0968DEF8"/>
    <w:rsid w:val="09AFB79C"/>
    <w:rsid w:val="0A23610C"/>
    <w:rsid w:val="0C98AF9B"/>
    <w:rsid w:val="0CA8C5FA"/>
    <w:rsid w:val="0E099625"/>
    <w:rsid w:val="0E585665"/>
    <w:rsid w:val="0FD38FC8"/>
    <w:rsid w:val="106C010C"/>
    <w:rsid w:val="11D80833"/>
    <w:rsid w:val="11F7A2D8"/>
    <w:rsid w:val="12173D88"/>
    <w:rsid w:val="125617DF"/>
    <w:rsid w:val="12753944"/>
    <w:rsid w:val="1329F203"/>
    <w:rsid w:val="1399C001"/>
    <w:rsid w:val="14039208"/>
    <w:rsid w:val="166ECDDD"/>
    <w:rsid w:val="16B06130"/>
    <w:rsid w:val="172EAEC2"/>
    <w:rsid w:val="192959F8"/>
    <w:rsid w:val="19F90065"/>
    <w:rsid w:val="1A01A43A"/>
    <w:rsid w:val="1B4E4266"/>
    <w:rsid w:val="1B5457F4"/>
    <w:rsid w:val="1C9CD17D"/>
    <w:rsid w:val="1D737593"/>
    <w:rsid w:val="1E696500"/>
    <w:rsid w:val="2054FAA0"/>
    <w:rsid w:val="20AC30C8"/>
    <w:rsid w:val="2166F4F0"/>
    <w:rsid w:val="24413D91"/>
    <w:rsid w:val="2514B5D1"/>
    <w:rsid w:val="29610BF0"/>
    <w:rsid w:val="2C94658A"/>
    <w:rsid w:val="2DA7BCBD"/>
    <w:rsid w:val="31098772"/>
    <w:rsid w:val="31A66FFF"/>
    <w:rsid w:val="31A84AF2"/>
    <w:rsid w:val="3247E8AF"/>
    <w:rsid w:val="32F1DA26"/>
    <w:rsid w:val="332E35A3"/>
    <w:rsid w:val="33B5CD46"/>
    <w:rsid w:val="34818FFE"/>
    <w:rsid w:val="34FA6764"/>
    <w:rsid w:val="354FE832"/>
    <w:rsid w:val="3594FB4B"/>
    <w:rsid w:val="35DEF0EE"/>
    <w:rsid w:val="366CE556"/>
    <w:rsid w:val="370BF468"/>
    <w:rsid w:val="37855248"/>
    <w:rsid w:val="380CF857"/>
    <w:rsid w:val="39287EDA"/>
    <w:rsid w:val="39E90A46"/>
    <w:rsid w:val="3C0CBF90"/>
    <w:rsid w:val="3C298A85"/>
    <w:rsid w:val="3C9887CB"/>
    <w:rsid w:val="3E350E8E"/>
    <w:rsid w:val="3F5B14E1"/>
    <w:rsid w:val="3F8EA412"/>
    <w:rsid w:val="41203650"/>
    <w:rsid w:val="41BA9B53"/>
    <w:rsid w:val="42EE8E1F"/>
    <w:rsid w:val="43B009CC"/>
    <w:rsid w:val="44501761"/>
    <w:rsid w:val="459038A9"/>
    <w:rsid w:val="45C980BC"/>
    <w:rsid w:val="45F3F5A2"/>
    <w:rsid w:val="468CF8FB"/>
    <w:rsid w:val="4809EF1C"/>
    <w:rsid w:val="493A5E46"/>
    <w:rsid w:val="4994E46A"/>
    <w:rsid w:val="4BB321F2"/>
    <w:rsid w:val="4BE5720A"/>
    <w:rsid w:val="4DFB5073"/>
    <w:rsid w:val="4E1FCB63"/>
    <w:rsid w:val="4E52888C"/>
    <w:rsid w:val="4F5AD3F5"/>
    <w:rsid w:val="4FF693B4"/>
    <w:rsid w:val="50457F6C"/>
    <w:rsid w:val="505B4B4C"/>
    <w:rsid w:val="5095031E"/>
    <w:rsid w:val="50BA309C"/>
    <w:rsid w:val="515B45EB"/>
    <w:rsid w:val="51708B25"/>
    <w:rsid w:val="518C23FC"/>
    <w:rsid w:val="51CFFDC4"/>
    <w:rsid w:val="542A6236"/>
    <w:rsid w:val="5572279F"/>
    <w:rsid w:val="57553D2E"/>
    <w:rsid w:val="579AAD24"/>
    <w:rsid w:val="57B6074B"/>
    <w:rsid w:val="595B18D9"/>
    <w:rsid w:val="5C5B9D45"/>
    <w:rsid w:val="5E887E30"/>
    <w:rsid w:val="5F7E7F95"/>
    <w:rsid w:val="6123E697"/>
    <w:rsid w:val="63162A37"/>
    <w:rsid w:val="633E07D7"/>
    <w:rsid w:val="69DE25EF"/>
    <w:rsid w:val="6C24BE68"/>
    <w:rsid w:val="6CEED028"/>
    <w:rsid w:val="6D91C65D"/>
    <w:rsid w:val="6DF20F45"/>
    <w:rsid w:val="6F071278"/>
    <w:rsid w:val="6F8C1D3A"/>
    <w:rsid w:val="7081ACDD"/>
    <w:rsid w:val="70E74EE2"/>
    <w:rsid w:val="71875F74"/>
    <w:rsid w:val="7249EC3C"/>
    <w:rsid w:val="72A0A9BD"/>
    <w:rsid w:val="75553B22"/>
    <w:rsid w:val="757DBD2B"/>
    <w:rsid w:val="794AE5FF"/>
    <w:rsid w:val="79F485EB"/>
    <w:rsid w:val="7B1D0161"/>
    <w:rsid w:val="7D038D98"/>
    <w:rsid w:val="7E69A3FA"/>
    <w:rsid w:val="7EF3C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AE86C"/>
  <w15:docId w15:val="{30689FBA-F2C7-4C60-A2CC-CC98A2BB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A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Nagwek">
    <w:name w:val="header"/>
    <w:basedOn w:val="Normalny"/>
    <w:link w:val="NagwekZnak1"/>
    <w:uiPriority w:val="99"/>
    <w:unhideWhenUsed/>
    <w:rsid w:val="005B37E9"/>
    <w:pPr>
      <w:tabs>
        <w:tab w:val="center" w:pos="4536"/>
        <w:tab w:val="right" w:pos="9072"/>
      </w:tabs>
      <w:spacing w:line="240" w:lineRule="auto"/>
    </w:pPr>
  </w:style>
  <w:style w:type="character" w:customStyle="1" w:styleId="CommentReference">
    <w:name w:val="Comment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1">
    <w:name w:val="Nagłówek Znak1"/>
    <w:basedOn w:val="Domylnaczcionkaakapitu"/>
    <w:link w:val="Nagwek"/>
    <w:uiPriority w:val="99"/>
    <w:rsid w:val="005B37E9"/>
  </w:style>
  <w:style w:type="paragraph" w:styleId="Stopka">
    <w:name w:val="footer"/>
    <w:basedOn w:val="Normalny"/>
    <w:link w:val="StopkaZnak1"/>
    <w:uiPriority w:val="99"/>
    <w:unhideWhenUsed/>
    <w:rsid w:val="005B37E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B37E9"/>
  </w:style>
  <w:style w:type="paragraph" w:styleId="Tekstkomentarza">
    <w:name w:val="annotation text"/>
    <w:basedOn w:val="Normalny"/>
    <w:link w:val="TekstkomentarzaZnak1"/>
    <w:uiPriority w:val="99"/>
    <w:unhideWhenUsed/>
    <w:rsid w:val="002E4A9F"/>
    <w:pPr>
      <w:spacing w:line="240" w:lineRule="auto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581F9E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AB215D"/>
    <w:rPr>
      <w:color w:val="0000FF"/>
      <w:u w:val="single"/>
    </w:rPr>
  </w:style>
  <w:style w:type="character" w:customStyle="1" w:styleId="Ohne">
    <w:name w:val="Ohne"/>
    <w:qFormat/>
    <w:rsid w:val="00AB215D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eastAsia="Calibri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Calibri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Calibri" w:cs="Calibri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Calibri" w:cs="Calibri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Calibri" w:cs="Calibri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eastAsia="Calibri" w:cs="Calibri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eastAsia="Calibri" w:cs="Calibri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eastAsia="Calibri" w:cs="Calibri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eastAsia="Calibri" w:cs="Calibri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Calibri" w:cs="Calibri"/>
      <w:i/>
      <w:color w:val="000000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Calibri" w:cs="Calibri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Calibri" w:cs="Calibri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Calibri" w:cs="Calibri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eastAsia="Calibri" w:cs="Calibri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eastAsia="Calibri" w:cs="Calibri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eastAsia="Calibri" w:cs="Calibri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Calibri" w:cs="Calibri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eastAsia="Calibri" w:cs="Calibri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eastAsia="Calibri" w:cs="Calibri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eastAsia="Calibri" w:cs="Calibri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eastAsia="Calibri" w:cs="Calibri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eastAsia="Calibri" w:cs="Calibri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eastAsia="Calibri" w:cs="Calibri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eastAsia="Calibri" w:cs="Calibri"/>
      <w:i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eastAsia="Calibri" w:cs="Calibri"/>
      <w:i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eastAsia="Calibri" w:cs="Calibri"/>
      <w:i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eastAsia="Arial" w:cs="Calibri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eastAsia="Arial" w:cs="Calibri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eastAsia="Calibri" w:cs="Calibri"/>
      <w:i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2E4A9F"/>
    <w:rPr>
      <w:sz w:val="20"/>
      <w:szCs w:val="20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735C4"/>
    <w:pPr>
      <w:suppressLineNumbers/>
      <w:suppressAutoHyphens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2E4A9F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2E4A9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qFormat/>
    <w:rsid w:val="00581F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3F569B"/>
    <w:pPr>
      <w:ind w:left="720"/>
      <w:contextualSpacing/>
    </w:pPr>
  </w:style>
  <w:style w:type="paragraph" w:styleId="Poprawka">
    <w:name w:val="Revision"/>
    <w:uiPriority w:val="99"/>
    <w:semiHidden/>
    <w:qFormat/>
    <w:rsid w:val="00396731"/>
  </w:style>
  <w:style w:type="paragraph" w:styleId="Bezodstpw">
    <w:name w:val="No Spacing"/>
    <w:uiPriority w:val="1"/>
    <w:qFormat/>
    <w:rsid w:val="003A477E"/>
    <w:rPr>
      <w:rFonts w:asciiTheme="majorHAnsi" w:hAnsiTheme="majorHAnsi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8226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74C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C5"/>
    <w:rPr>
      <w:color w:val="605E5C"/>
      <w:shd w:val="clear" w:color="auto" w:fill="E1DFDD"/>
    </w:rPr>
  </w:style>
  <w:style w:type="table" w:styleId="Tabela-Siatka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komentarzaZnak">
    <w:name w:val="Tekst komentarza Znak"/>
    <w:basedOn w:val="Domylnaczcionkaakapitu"/>
    <w:uiPriority w:val="99"/>
    <w:qFormat/>
    <w:rsid w:val="00A85642"/>
    <w:rPr>
      <w:sz w:val="20"/>
      <w:szCs w:val="20"/>
    </w:rPr>
  </w:style>
  <w:style w:type="character" w:customStyle="1" w:styleId="TekstdymkaZnak">
    <w:name w:val="Tekst dymka Znak"/>
    <w:basedOn w:val="Domylnaczcionkaakapitu"/>
    <w:uiPriority w:val="99"/>
    <w:semiHidden/>
    <w:qFormat/>
    <w:rsid w:val="00A85642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uiPriority w:val="99"/>
    <w:qFormat/>
    <w:rsid w:val="00A85642"/>
  </w:style>
  <w:style w:type="character" w:customStyle="1" w:styleId="StopkaZnak">
    <w:name w:val="Stopka Znak"/>
    <w:basedOn w:val="Domylnaczcionkaakapitu"/>
    <w:uiPriority w:val="99"/>
    <w:qFormat/>
    <w:rsid w:val="00A85642"/>
  </w:style>
  <w:style w:type="character" w:customStyle="1" w:styleId="TematkomentarzaZnak">
    <w:name w:val="Temat komentarza Znak"/>
    <w:basedOn w:val="TekstkomentarzaZnak"/>
    <w:uiPriority w:val="99"/>
    <w:semiHidden/>
    <w:qFormat/>
    <w:rsid w:val="00A85642"/>
    <w:rPr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A85642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ynektik.com.pl/wp-content/uploads/2026/06/raport-SYNEKTIK_v3_15_06_FIN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E7BC0E4B2AA4882C1D29969F8FD93" ma:contentTypeVersion="16" ma:contentTypeDescription="Create a new document." ma:contentTypeScope="" ma:versionID="5aaeebcfcf6ad213de11c56b1ff70b5e">
  <xsd:schema xmlns:xsd="http://www.w3.org/2001/XMLSchema" xmlns:xs="http://www.w3.org/2001/XMLSchema" xmlns:p="http://schemas.microsoft.com/office/2006/metadata/properties" xmlns:ns3="19d5cebc-8a82-454a-964b-e5f037b79cad" xmlns:ns4="acc7a05e-35ad-430f-855b-0aa4efca2364" targetNamespace="http://schemas.microsoft.com/office/2006/metadata/properties" ma:root="true" ma:fieldsID="96c1ce77bf9e2f646920ace28b3f21f2" ns3:_="" ns4:_="">
    <xsd:import namespace="19d5cebc-8a82-454a-964b-e5f037b79cad"/>
    <xsd:import namespace="acc7a05e-35ad-430f-855b-0aa4efca23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5cebc-8a82-454a-964b-e5f037b79c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7a05e-35ad-430f-855b-0aa4efca2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c7a05e-35ad-430f-855b-0aa4efca2364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7Ah7A/t/FlSLugKuzMp4VFbJQ==">CgMxLjA4AHIhMThWN3dYS2p0b3RCWjUxVDhaVFUzMjdsNmtxZU0zZHFM</go:docsCustomData>
</go:gDocsCustomXmlDataStorage>
</file>

<file path=customXml/itemProps1.xml><?xml version="1.0" encoding="utf-8"?>
<ds:datastoreItem xmlns:ds="http://schemas.openxmlformats.org/officeDocument/2006/customXml" ds:itemID="{CF990C3A-84DA-45D3-99E5-ECE9232A9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47C6C-74A0-4F4C-89D7-C2A03D921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5cebc-8a82-454a-964b-e5f037b79cad"/>
    <ds:schemaRef ds:uri="acc7a05e-35ad-430f-855b-0aa4efca2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FCD10C-9F96-498E-9C5E-B926337C8CEB}">
  <ds:schemaRefs>
    <ds:schemaRef ds:uri="http://schemas.microsoft.com/office/2006/metadata/properties"/>
    <ds:schemaRef ds:uri="http://schemas.microsoft.com/office/infopath/2007/PartnerControls"/>
    <ds:schemaRef ds:uri="acc7a05e-35ad-430f-855b-0aa4efca2364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Kleczkowski</dc:creator>
  <cp:keywords/>
  <cp:lastModifiedBy>Izabela Mądrzycka</cp:lastModifiedBy>
  <cp:revision>3</cp:revision>
  <dcterms:created xsi:type="dcterms:W3CDTF">2026-06-15T12:24:00Z</dcterms:created>
  <dcterms:modified xsi:type="dcterms:W3CDTF">2026-06-15T12:31:00Z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0x010100BB0E7BC0E4B2AA4882C1D29969F8FD93</vt:lpwstr>
  </property>
</Properties>
</file>